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F7F8B0C" w:rsidRDefault="0F7F8B0C" w:rsidP="0D9F1988">
      <w:r>
        <w:rPr>
          <w:noProof/>
          <w:lang w:eastAsia="en-GB"/>
        </w:rPr>
        <mc:AlternateContent>
          <mc:Choice Requires="wps">
            <w:drawing>
              <wp:inline distT="0" distB="0" distL="0" distR="0" wp14:anchorId="1A0F2A70" wp14:editId="6BF209A9">
                <wp:extent cx="4522470" cy="1514475"/>
                <wp:effectExtent l="19050" t="19050" r="11430" b="28575"/>
                <wp:docPr id="1801414182" name="Rectangle 1"/>
                <wp:cNvGraphicFramePr/>
                <a:graphic xmlns:a="http://schemas.openxmlformats.org/drawingml/2006/main">
                  <a:graphicData uri="http://schemas.microsoft.com/office/word/2010/wordprocessingShape">
                    <wps:wsp>
                      <wps:cNvSpPr/>
                      <wps:spPr>
                        <a:xfrm>
                          <a:off x="0" y="0"/>
                          <a:ext cx="4522470" cy="1514475"/>
                        </a:xfrm>
                        <a:prstGeom prst="rect">
                          <a:avLst/>
                        </a:prstGeom>
                        <a:solidFill>
                          <a:schemeClr val="accent5">
                            <a:lumMod val="20000"/>
                            <a:lumOff val="80000"/>
                          </a:schemeClr>
                        </a:solidFill>
                        <a:ln w="28575">
                          <a:solidFill>
                            <a:schemeClr val="accent5">
                              <a:lumMod val="75000"/>
                            </a:schemeClr>
                          </a:solidFill>
                        </a:ln>
                      </wps:spPr>
                      <wps:txbx>
                        <w:txbxContent>
                          <w:p w:rsidR="00631A05" w:rsidRDefault="003E33D8" w:rsidP="00E16143">
                            <w:pPr>
                              <w:spacing w:line="276" w:lineRule="auto"/>
                              <w:rPr>
                                <w:rFonts w:ascii="Aptos" w:hAnsi="Aptos"/>
                                <w:b/>
                                <w:bCs/>
                                <w:color w:val="77206D" w:themeColor="accent5" w:themeShade="BF"/>
                                <w:sz w:val="52"/>
                                <w:szCs w:val="52"/>
                                <w:lang w:val="en-US"/>
                              </w:rPr>
                            </w:pPr>
                            <w:r>
                              <w:rPr>
                                <w:rFonts w:ascii="Aptos" w:hAnsi="Aptos"/>
                                <w:b/>
                                <w:bCs/>
                                <w:color w:val="77206D" w:themeColor="accent5" w:themeShade="BF"/>
                                <w:sz w:val="52"/>
                                <w:szCs w:val="52"/>
                                <w:lang w:val="en-US"/>
                              </w:rPr>
                              <w:t>The Compass</w:t>
                            </w:r>
                            <w:r>
                              <w:rPr>
                                <w:rFonts w:ascii="Aptos" w:hAnsi="Aptos"/>
                                <w:b/>
                                <w:bCs/>
                                <w:color w:val="77206D" w:themeColor="accent5" w:themeShade="BF"/>
                                <w:sz w:val="56"/>
                                <w:szCs w:val="56"/>
                                <w:lang w:val="en-US"/>
                              </w:rPr>
                              <w:t xml:space="preserve"> </w:t>
                            </w:r>
                            <w:r>
                              <w:rPr>
                                <w:rFonts w:ascii="Aptos" w:hAnsi="Aptos"/>
                                <w:b/>
                                <w:bCs/>
                                <w:color w:val="77206D" w:themeColor="accent5" w:themeShade="BF"/>
                                <w:lang w:val="en-US"/>
                              </w:rPr>
                              <w:t xml:space="preserve"> </w:t>
                            </w:r>
                          </w:p>
                          <w:p w:rsidR="00631A05" w:rsidRDefault="003E33D8" w:rsidP="00E16143">
                            <w:pPr>
                              <w:spacing w:line="276" w:lineRule="auto"/>
                              <w:rPr>
                                <w:rFonts w:ascii="Aptos" w:hAnsi="Aptos"/>
                                <w:b/>
                                <w:bCs/>
                                <w:color w:val="77206D" w:themeColor="accent5" w:themeShade="BF"/>
                                <w:sz w:val="40"/>
                                <w:szCs w:val="40"/>
                                <w:lang w:val="en-US"/>
                              </w:rPr>
                            </w:pPr>
                            <w:r>
                              <w:rPr>
                                <w:rFonts w:ascii="Aptos" w:hAnsi="Aptos"/>
                                <w:b/>
                                <w:bCs/>
                                <w:color w:val="77206D" w:themeColor="accent5" w:themeShade="BF"/>
                                <w:sz w:val="40"/>
                                <w:szCs w:val="40"/>
                                <w:lang w:val="en-US"/>
                              </w:rPr>
                              <w:t>SEN Information Report 2024-25</w:t>
                            </w:r>
                            <w:r>
                              <w:rPr>
                                <w:rFonts w:ascii="Aptos" w:hAnsi="Aptos"/>
                                <w:b/>
                                <w:bCs/>
                                <w:color w:val="77206D"/>
                                <w:sz w:val="40"/>
                                <w:szCs w:val="40"/>
                                <w:lang w:val="en-US"/>
                              </w:rPr>
                              <w:t xml:space="preserve"> </w:t>
                            </w:r>
                          </w:p>
                        </w:txbxContent>
                      </wps:txbx>
                      <wps:bodyPr anchor="t"/>
                    </wps:wsp>
                  </a:graphicData>
                </a:graphic>
              </wp:inline>
            </w:drawing>
          </mc:Choice>
          <mc:Fallback xmlns:a="http://schemas.openxmlformats.org/drawingml/2006/main" xmlns:w16sdtfl="http://schemas.microsoft.com/office/word/2024/wordml/sdtformatlock" xmlns:w16sdtdh="http://schemas.microsoft.com/office/word/2020/wordml/sdtdatahash" xmlns:w16cex="http://schemas.microsoft.com/office/word/2018/wordml/cex" xmlns:w16="http://schemas.microsoft.com/office/word/2018/wordml" xmlns:w16cid="http://schemas.microsoft.com/office/word/2016/wordml/cid"/>
        </mc:AlternateContent>
      </w:r>
    </w:p>
    <w:p w:rsidR="0F7F8B0C" w:rsidRDefault="0F7F8B0C" w:rsidP="0D9F1988">
      <w:p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Compass is a short stay pupil referral unit with a resourced provision base for students with Social, Emotional and Mental Health difficulties (SEMH). The children are predominantly from the Weymouth and Portland area, however students from across Dorset can also access our provision. It is our aim to provide the very best in education and support for all children who (for a variety of reasons) find themselves outside of mainstream school education. All students are entitled to have access to a broad, balanced and relevant curriculum, which is differentiated to meet individual needs.</w:t>
      </w:r>
    </w:p>
    <w:p w:rsidR="0D9F1988" w:rsidRDefault="0D9F1988" w:rsidP="0D9F1988">
      <w:pPr>
        <w:spacing w:after="0" w:line="240" w:lineRule="auto"/>
        <w:rPr>
          <w:rFonts w:ascii="Calibri" w:eastAsia="Calibri" w:hAnsi="Calibri" w:cs="Calibri"/>
          <w:color w:val="000000" w:themeColor="text1"/>
        </w:rPr>
      </w:pPr>
    </w:p>
    <w:p w:rsidR="0F7F8B0C" w:rsidRDefault="0F7F8B0C" w:rsidP="0D9F1988">
      <w:p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All our students will:</w:t>
      </w:r>
    </w:p>
    <w:p w:rsidR="0F7F8B0C" w:rsidRDefault="0F7F8B0C" w:rsidP="0D9F1988">
      <w:pPr>
        <w:pStyle w:val="ListParagraph"/>
        <w:numPr>
          <w:ilvl w:val="0"/>
          <w:numId w:val="4"/>
        </w:num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be treated as individuals where their individual needs, interests and skills are recognised and encouraged</w:t>
      </w:r>
    </w:p>
    <w:p w:rsidR="0F7F8B0C" w:rsidRDefault="0F7F8B0C" w:rsidP="0D9F1988">
      <w:pPr>
        <w:pStyle w:val="ListParagraph"/>
        <w:numPr>
          <w:ilvl w:val="0"/>
          <w:numId w:val="4"/>
        </w:num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be entitled to have special educational need identified and assessed</w:t>
      </w:r>
    </w:p>
    <w:p w:rsidR="0F7F8B0C" w:rsidRDefault="0F7F8B0C" w:rsidP="0D9F1988">
      <w:pPr>
        <w:pStyle w:val="ListParagraph"/>
        <w:numPr>
          <w:ilvl w:val="0"/>
          <w:numId w:val="4"/>
        </w:num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be provided with opportunities to develop their self-esteem and become confident members of our community</w:t>
      </w:r>
    </w:p>
    <w:p w:rsidR="0F7F8B0C" w:rsidRDefault="0F7F8B0C" w:rsidP="0D9F1988">
      <w:pPr>
        <w:pStyle w:val="ListParagraph"/>
        <w:numPr>
          <w:ilvl w:val="0"/>
          <w:numId w:val="4"/>
        </w:num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receive a broad and balanced curriculum that reflects individual students needs</w:t>
      </w:r>
    </w:p>
    <w:p w:rsidR="0F7F8B0C" w:rsidRDefault="0F7F8B0C" w:rsidP="0D9F1988">
      <w:pPr>
        <w:pStyle w:val="ListParagraph"/>
        <w:numPr>
          <w:ilvl w:val="0"/>
          <w:numId w:val="3"/>
        </w:num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be encouraged to achieve their full potential, whatever their abilities</w:t>
      </w:r>
    </w:p>
    <w:p w:rsidR="0F7F8B0C" w:rsidRDefault="0F7F8B0C" w:rsidP="0D9F1988">
      <w:pPr>
        <w:pStyle w:val="ListParagraph"/>
        <w:numPr>
          <w:ilvl w:val="0"/>
          <w:numId w:val="3"/>
        </w:num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be encouraged to learn through a range of enjoyable and stimulating experiences in an atmosphere where students feel valued, secure and safe</w:t>
      </w:r>
    </w:p>
    <w:p w:rsidR="0F7F8B0C" w:rsidRDefault="0F7F8B0C" w:rsidP="0D9F1988">
      <w:pPr>
        <w:pStyle w:val="ListParagraph"/>
        <w:numPr>
          <w:ilvl w:val="0"/>
          <w:numId w:val="2"/>
        </w:numPr>
        <w:spacing w:after="0" w:line="240" w:lineRule="auto"/>
        <w:rPr>
          <w:rFonts w:ascii="Calibri" w:eastAsia="Calibri" w:hAnsi="Calibri" w:cs="Calibri"/>
          <w:color w:val="000000" w:themeColor="text1"/>
        </w:rPr>
      </w:pPr>
      <w:proofErr w:type="gramStart"/>
      <w:r w:rsidRPr="0D9F1988">
        <w:rPr>
          <w:rFonts w:ascii="Calibri" w:eastAsia="Calibri" w:hAnsi="Calibri" w:cs="Calibri"/>
          <w:color w:val="000000" w:themeColor="text1"/>
        </w:rPr>
        <w:t>learn</w:t>
      </w:r>
      <w:proofErr w:type="gramEnd"/>
      <w:r w:rsidRPr="0D9F1988">
        <w:rPr>
          <w:rFonts w:ascii="Calibri" w:eastAsia="Calibri" w:hAnsi="Calibri" w:cs="Calibri"/>
          <w:color w:val="000000" w:themeColor="text1"/>
        </w:rPr>
        <w:t xml:space="preserve"> to take an increasing responsibility for their own learning and actions so that they will be equipped to deal with life after school.</w:t>
      </w:r>
    </w:p>
    <w:p w:rsidR="0F7F8B0C" w:rsidRDefault="0F7F8B0C" w:rsidP="0D9F1988">
      <w:pPr>
        <w:pStyle w:val="ListParagraph"/>
        <w:numPr>
          <w:ilvl w:val="0"/>
          <w:numId w:val="1"/>
        </w:num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be encouraged to see education as a life-long process to the benefit of all aspects of their life</w:t>
      </w:r>
    </w:p>
    <w:p w:rsidR="0D9F1988" w:rsidRDefault="0D9F1988" w:rsidP="0D9F1988">
      <w:pPr>
        <w:ind w:right="797"/>
        <w:rPr>
          <w:rFonts w:ascii="Calibri" w:eastAsia="Calibri" w:hAnsi="Calibri" w:cs="Calibri"/>
          <w:color w:val="000000" w:themeColor="text1"/>
        </w:rPr>
      </w:pPr>
    </w:p>
    <w:p w:rsidR="0F7F8B0C" w:rsidRDefault="0F7F8B0C" w:rsidP="0D9F1988">
      <w:p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This SEND Information Report outlines information regarding the ways in which we provide support for all students with Special Educational</w:t>
      </w:r>
    </w:p>
    <w:p w:rsidR="0F7F8B0C" w:rsidRDefault="0F7F8B0C" w:rsidP="0D9F1988">
      <w:p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Needs and Disabilities (SEND), in order for all students to reach their full potential, make academic and personal progress and develop the skills and attitudes necessary for a fulfilling life. The provision is reviewed regularly and may change over time.</w:t>
      </w:r>
    </w:p>
    <w:p w:rsidR="0D9F1988" w:rsidRDefault="0D9F1988" w:rsidP="0D9F1988">
      <w:pPr>
        <w:spacing w:after="0" w:line="240" w:lineRule="auto"/>
        <w:rPr>
          <w:rFonts w:ascii="Calibri" w:eastAsia="Calibri" w:hAnsi="Calibri" w:cs="Calibri"/>
          <w:color w:val="000000" w:themeColor="text1"/>
        </w:rPr>
      </w:pPr>
    </w:p>
    <w:p w:rsidR="0F7F8B0C" w:rsidRDefault="0F7F8B0C" w:rsidP="0D9F1988">
      <w:pPr>
        <w:spacing w:after="0" w:line="240" w:lineRule="auto"/>
        <w:rPr>
          <w:rFonts w:ascii="Calibri" w:eastAsia="Calibri" w:hAnsi="Calibri" w:cs="Calibri"/>
          <w:color w:val="000000" w:themeColor="text1"/>
        </w:rPr>
      </w:pPr>
      <w:r w:rsidRPr="0D9F1988">
        <w:rPr>
          <w:rFonts w:ascii="Calibri" w:eastAsia="Calibri" w:hAnsi="Calibri" w:cs="Calibri"/>
          <w:color w:val="000000" w:themeColor="text1"/>
        </w:rPr>
        <w:t xml:space="preserve">The information required to be included in this SEND Information Report is stated in </w:t>
      </w:r>
      <w:r w:rsidRPr="0D9F1988">
        <w:rPr>
          <w:rFonts w:ascii="Calibri" w:eastAsia="Calibri" w:hAnsi="Calibri" w:cs="Calibri"/>
          <w:b/>
          <w:bCs/>
          <w:color w:val="000000" w:themeColor="text1"/>
        </w:rPr>
        <w:t>The Special Educational Needs and Disability Regulations</w:t>
      </w:r>
    </w:p>
    <w:p w:rsidR="0F7F8B0C" w:rsidRDefault="0F7F8B0C" w:rsidP="0D9F1988">
      <w:pPr>
        <w:spacing w:after="0" w:line="240" w:lineRule="auto"/>
        <w:rPr>
          <w:rFonts w:ascii="Calibri" w:eastAsia="Calibri" w:hAnsi="Calibri" w:cs="Calibri"/>
          <w:color w:val="000000" w:themeColor="text1"/>
        </w:rPr>
      </w:pPr>
      <w:r w:rsidRPr="0D9F1988">
        <w:rPr>
          <w:rFonts w:ascii="Calibri" w:eastAsia="Calibri" w:hAnsi="Calibri" w:cs="Calibri"/>
          <w:b/>
          <w:bCs/>
          <w:color w:val="000000" w:themeColor="text1"/>
        </w:rPr>
        <w:t>2014 SCHEDULE 1: Information to be included in the SEN information report</w:t>
      </w:r>
      <w:r w:rsidRPr="0D9F1988">
        <w:rPr>
          <w:rFonts w:ascii="Calibri" w:eastAsia="Calibri" w:hAnsi="Calibri" w:cs="Calibri"/>
          <w:color w:val="000000" w:themeColor="text1"/>
        </w:rPr>
        <w:t>.</w:t>
      </w:r>
    </w:p>
    <w:p w:rsidR="0D9F1988" w:rsidRDefault="0D9F1988" w:rsidP="671BBA62">
      <w:pPr>
        <w:ind w:right="797"/>
        <w:rPr>
          <w:rFonts w:ascii="Calibri" w:eastAsia="Calibri" w:hAnsi="Calibri" w:cs="Calibri"/>
          <w:color w:val="000000" w:themeColor="text1"/>
        </w:rPr>
      </w:pPr>
    </w:p>
    <w:p w:rsidR="671BBA62" w:rsidRDefault="671BBA62" w:rsidP="671BBA62">
      <w:pPr>
        <w:ind w:right="797"/>
        <w:rPr>
          <w:rFonts w:ascii="Calibri" w:eastAsia="Calibri" w:hAnsi="Calibri" w:cs="Calibri"/>
          <w:color w:val="000000" w:themeColor="text1"/>
        </w:rPr>
      </w:pPr>
    </w:p>
    <w:p w:rsidR="671BBA62" w:rsidRDefault="671BBA62" w:rsidP="671BBA62">
      <w:pPr>
        <w:ind w:right="797"/>
        <w:rPr>
          <w:rFonts w:ascii="Calibri" w:eastAsia="Calibri" w:hAnsi="Calibri" w:cs="Calibri"/>
          <w:color w:val="000000" w:themeColor="text1"/>
        </w:rPr>
      </w:pPr>
    </w:p>
    <w:p w:rsidR="7CE130E4" w:rsidRDefault="7CE130E4" w:rsidP="671BBA62">
      <w:pPr>
        <w:ind w:right="797"/>
        <w:jc w:val="center"/>
        <w:rPr>
          <w:rFonts w:ascii="Calibri" w:eastAsia="Calibri" w:hAnsi="Calibri" w:cs="Calibri"/>
          <w:b/>
          <w:bCs/>
          <w:color w:val="77206D" w:themeColor="accent5" w:themeShade="BF"/>
          <w:sz w:val="28"/>
          <w:szCs w:val="28"/>
        </w:rPr>
      </w:pPr>
      <w:r w:rsidRPr="671BBA62">
        <w:rPr>
          <w:rFonts w:ascii="Calibri" w:eastAsia="Calibri" w:hAnsi="Calibri" w:cs="Calibri"/>
          <w:b/>
          <w:bCs/>
          <w:color w:val="77206D" w:themeColor="accent5" w:themeShade="BF"/>
          <w:sz w:val="28"/>
          <w:szCs w:val="28"/>
        </w:rPr>
        <w:lastRenderedPageBreak/>
        <w:t>SEND Data 2024-25</w:t>
      </w:r>
    </w:p>
    <w:tbl>
      <w:tblPr>
        <w:tblStyle w:val="TableGrid"/>
        <w:tblW w:w="0" w:type="auto"/>
        <w:tblLayout w:type="fixed"/>
        <w:tblLook w:val="06A0" w:firstRow="1" w:lastRow="0" w:firstColumn="1" w:lastColumn="0" w:noHBand="1" w:noVBand="1"/>
      </w:tblPr>
      <w:tblGrid>
        <w:gridCol w:w="1009"/>
        <w:gridCol w:w="2054"/>
        <w:gridCol w:w="2054"/>
        <w:gridCol w:w="2054"/>
        <w:gridCol w:w="2054"/>
        <w:gridCol w:w="2054"/>
        <w:gridCol w:w="2054"/>
        <w:gridCol w:w="2054"/>
      </w:tblGrid>
      <w:tr w:rsidR="671BBA62" w:rsidTr="15B402DD">
        <w:trPr>
          <w:trHeight w:val="360"/>
        </w:trPr>
        <w:tc>
          <w:tcPr>
            <w:tcW w:w="1009" w:type="dxa"/>
            <w:vMerge w:val="restart"/>
            <w:shd w:val="clear" w:color="auto" w:fill="F2CEED" w:themeFill="accent5" w:themeFillTint="33"/>
          </w:tcPr>
          <w:p w:rsidR="59E81A89" w:rsidRDefault="59E81A89" w:rsidP="15B402DD">
            <w:pPr>
              <w:jc w:val="center"/>
              <w:rPr>
                <w:rFonts w:ascii="Calibri" w:eastAsia="Calibri" w:hAnsi="Calibri" w:cs="Calibri"/>
                <w:color w:val="77206D" w:themeColor="accent5" w:themeShade="BF"/>
              </w:rPr>
            </w:pPr>
            <w:r w:rsidRPr="15B402DD">
              <w:rPr>
                <w:rFonts w:ascii="Calibri" w:eastAsia="Calibri" w:hAnsi="Calibri" w:cs="Calibri"/>
                <w:color w:val="77206D" w:themeColor="accent5" w:themeShade="BF"/>
              </w:rPr>
              <w:t>Year Group</w:t>
            </w:r>
          </w:p>
        </w:tc>
        <w:tc>
          <w:tcPr>
            <w:tcW w:w="2054" w:type="dxa"/>
            <w:vMerge w:val="restart"/>
            <w:shd w:val="clear" w:color="auto" w:fill="F2CEED" w:themeFill="accent5" w:themeFillTint="33"/>
          </w:tcPr>
          <w:p w:rsidR="59E81A89" w:rsidRDefault="59E81A89" w:rsidP="15B402DD">
            <w:pPr>
              <w:jc w:val="center"/>
              <w:rPr>
                <w:rFonts w:ascii="Calibri" w:eastAsia="Calibri" w:hAnsi="Calibri" w:cs="Calibri"/>
                <w:color w:val="77206D" w:themeColor="accent5" w:themeShade="BF"/>
              </w:rPr>
            </w:pPr>
            <w:r w:rsidRPr="15B402DD">
              <w:rPr>
                <w:rFonts w:ascii="Calibri" w:eastAsia="Calibri" w:hAnsi="Calibri" w:cs="Calibri"/>
                <w:color w:val="77206D" w:themeColor="accent5" w:themeShade="BF"/>
              </w:rPr>
              <w:t>Total on roll across year</w:t>
            </w:r>
          </w:p>
        </w:tc>
        <w:tc>
          <w:tcPr>
            <w:tcW w:w="2054" w:type="dxa"/>
            <w:vMerge w:val="restart"/>
            <w:shd w:val="clear" w:color="auto" w:fill="F2CEED" w:themeFill="accent5" w:themeFillTint="33"/>
          </w:tcPr>
          <w:p w:rsidR="59E81A89" w:rsidRDefault="59E81A89" w:rsidP="15B402DD">
            <w:pPr>
              <w:jc w:val="center"/>
              <w:rPr>
                <w:rFonts w:ascii="Calibri" w:eastAsia="Calibri" w:hAnsi="Calibri" w:cs="Calibri"/>
                <w:color w:val="77206D" w:themeColor="accent5" w:themeShade="BF"/>
              </w:rPr>
            </w:pPr>
            <w:r w:rsidRPr="15B402DD">
              <w:rPr>
                <w:rFonts w:ascii="Calibri" w:eastAsia="Calibri" w:hAnsi="Calibri" w:cs="Calibri"/>
                <w:color w:val="77206D" w:themeColor="accent5" w:themeShade="BF"/>
              </w:rPr>
              <w:t>SEN Support</w:t>
            </w:r>
          </w:p>
        </w:tc>
        <w:tc>
          <w:tcPr>
            <w:tcW w:w="2054" w:type="dxa"/>
            <w:vMerge w:val="restart"/>
            <w:shd w:val="clear" w:color="auto" w:fill="F2CEED" w:themeFill="accent5" w:themeFillTint="33"/>
          </w:tcPr>
          <w:p w:rsidR="59E81A89" w:rsidRDefault="59E81A89" w:rsidP="15B402DD">
            <w:pPr>
              <w:jc w:val="center"/>
              <w:rPr>
                <w:rFonts w:ascii="Calibri" w:eastAsia="Calibri" w:hAnsi="Calibri" w:cs="Calibri"/>
                <w:color w:val="77206D" w:themeColor="accent5" w:themeShade="BF"/>
              </w:rPr>
            </w:pPr>
            <w:r w:rsidRPr="15B402DD">
              <w:rPr>
                <w:rFonts w:ascii="Calibri" w:eastAsia="Calibri" w:hAnsi="Calibri" w:cs="Calibri"/>
                <w:color w:val="77206D" w:themeColor="accent5" w:themeShade="BF"/>
              </w:rPr>
              <w:t>EHCP</w:t>
            </w:r>
          </w:p>
        </w:tc>
        <w:tc>
          <w:tcPr>
            <w:tcW w:w="8216" w:type="dxa"/>
            <w:gridSpan w:val="4"/>
            <w:shd w:val="clear" w:color="auto" w:fill="F2CEED" w:themeFill="accent5" w:themeFillTint="33"/>
          </w:tcPr>
          <w:p w:rsidR="59E81A89" w:rsidRDefault="59E81A89" w:rsidP="671BBA62">
            <w:pPr>
              <w:jc w:val="center"/>
              <w:rPr>
                <w:rFonts w:ascii="Calibri" w:eastAsia="Calibri" w:hAnsi="Calibri" w:cs="Calibri"/>
                <w:b/>
                <w:bCs/>
                <w:color w:val="77206D" w:themeColor="accent5" w:themeShade="BF"/>
              </w:rPr>
            </w:pPr>
            <w:r w:rsidRPr="671BBA62">
              <w:rPr>
                <w:rFonts w:ascii="Calibri" w:eastAsia="Calibri" w:hAnsi="Calibri" w:cs="Calibri"/>
                <w:b/>
                <w:bCs/>
                <w:color w:val="77206D" w:themeColor="accent5" w:themeShade="BF"/>
              </w:rPr>
              <w:t>Primary area of Need</w:t>
            </w:r>
          </w:p>
        </w:tc>
      </w:tr>
      <w:tr w:rsidR="671BBA62" w:rsidTr="15B402DD">
        <w:trPr>
          <w:trHeight w:val="300"/>
        </w:trPr>
        <w:tc>
          <w:tcPr>
            <w:tcW w:w="1009" w:type="dxa"/>
            <w:vMerge/>
          </w:tcPr>
          <w:p w:rsidR="007F5A00" w:rsidRDefault="007F5A00"/>
        </w:tc>
        <w:tc>
          <w:tcPr>
            <w:tcW w:w="2054" w:type="dxa"/>
            <w:vMerge/>
          </w:tcPr>
          <w:p w:rsidR="007F5A00" w:rsidRDefault="007F5A00"/>
        </w:tc>
        <w:tc>
          <w:tcPr>
            <w:tcW w:w="2054" w:type="dxa"/>
            <w:vMerge/>
          </w:tcPr>
          <w:p w:rsidR="007F5A00" w:rsidRDefault="007F5A00"/>
        </w:tc>
        <w:tc>
          <w:tcPr>
            <w:tcW w:w="2054" w:type="dxa"/>
            <w:vMerge/>
          </w:tcPr>
          <w:p w:rsidR="007F5A00" w:rsidRDefault="007F5A00"/>
        </w:tc>
        <w:tc>
          <w:tcPr>
            <w:tcW w:w="2054" w:type="dxa"/>
            <w:shd w:val="clear" w:color="auto" w:fill="E59EDC" w:themeFill="accent5" w:themeFillTint="66"/>
          </w:tcPr>
          <w:p w:rsidR="17887B3D" w:rsidRDefault="17887B3D" w:rsidP="671BBA62">
            <w:pPr>
              <w:rPr>
                <w:rFonts w:ascii="Calibri" w:eastAsia="Calibri" w:hAnsi="Calibri" w:cs="Calibri"/>
                <w:color w:val="77206D" w:themeColor="accent5" w:themeShade="BF"/>
              </w:rPr>
            </w:pPr>
            <w:r w:rsidRPr="671BBA62">
              <w:rPr>
                <w:rFonts w:ascii="Calibri" w:eastAsia="Calibri" w:hAnsi="Calibri" w:cs="Calibri"/>
                <w:color w:val="77206D" w:themeColor="accent5" w:themeShade="BF"/>
              </w:rPr>
              <w:t>Communication &amp; Interaction</w:t>
            </w:r>
          </w:p>
        </w:tc>
        <w:tc>
          <w:tcPr>
            <w:tcW w:w="2054" w:type="dxa"/>
            <w:shd w:val="clear" w:color="auto" w:fill="CAEDFB" w:themeFill="accent4" w:themeFillTint="33"/>
          </w:tcPr>
          <w:p w:rsidR="17887B3D" w:rsidRDefault="17887B3D" w:rsidP="671BBA62">
            <w:pPr>
              <w:rPr>
                <w:rFonts w:ascii="Calibri" w:eastAsia="Calibri" w:hAnsi="Calibri" w:cs="Calibri"/>
                <w:color w:val="77206D" w:themeColor="accent5" w:themeShade="BF"/>
              </w:rPr>
            </w:pPr>
            <w:r w:rsidRPr="671BBA62">
              <w:rPr>
                <w:rFonts w:ascii="Calibri" w:eastAsia="Calibri" w:hAnsi="Calibri" w:cs="Calibri"/>
                <w:color w:val="77206D" w:themeColor="accent5" w:themeShade="BF"/>
              </w:rPr>
              <w:t>Cognition &amp; Learning</w:t>
            </w:r>
          </w:p>
        </w:tc>
        <w:tc>
          <w:tcPr>
            <w:tcW w:w="2054" w:type="dxa"/>
            <w:shd w:val="clear" w:color="auto" w:fill="C1F0C7" w:themeFill="accent3" w:themeFillTint="33"/>
          </w:tcPr>
          <w:p w:rsidR="17887B3D" w:rsidRDefault="17887B3D" w:rsidP="671BBA62">
            <w:pPr>
              <w:rPr>
                <w:rFonts w:ascii="Calibri" w:eastAsia="Calibri" w:hAnsi="Calibri" w:cs="Calibri"/>
                <w:color w:val="77206D" w:themeColor="accent5" w:themeShade="BF"/>
              </w:rPr>
            </w:pPr>
            <w:r w:rsidRPr="671BBA62">
              <w:rPr>
                <w:rFonts w:ascii="Calibri" w:eastAsia="Calibri" w:hAnsi="Calibri" w:cs="Calibri"/>
                <w:color w:val="77206D" w:themeColor="accent5" w:themeShade="BF"/>
              </w:rPr>
              <w:t>SEMH</w:t>
            </w:r>
          </w:p>
        </w:tc>
        <w:tc>
          <w:tcPr>
            <w:tcW w:w="2054" w:type="dxa"/>
            <w:shd w:val="clear" w:color="auto" w:fill="FAE2D5" w:themeFill="accent2" w:themeFillTint="33"/>
          </w:tcPr>
          <w:p w:rsidR="17887B3D" w:rsidRDefault="17887B3D" w:rsidP="671BBA62">
            <w:pPr>
              <w:rPr>
                <w:rFonts w:ascii="Calibri" w:eastAsia="Calibri" w:hAnsi="Calibri" w:cs="Calibri"/>
                <w:color w:val="77206D" w:themeColor="accent5" w:themeShade="BF"/>
              </w:rPr>
            </w:pPr>
            <w:r w:rsidRPr="671BBA62">
              <w:rPr>
                <w:rFonts w:ascii="Calibri" w:eastAsia="Calibri" w:hAnsi="Calibri" w:cs="Calibri"/>
                <w:color w:val="77206D" w:themeColor="accent5" w:themeShade="BF"/>
              </w:rPr>
              <w:t>Sensory &amp; Physical</w:t>
            </w:r>
          </w:p>
        </w:tc>
      </w:tr>
      <w:tr w:rsidR="671BBA62" w:rsidTr="15B402DD">
        <w:trPr>
          <w:trHeight w:val="300"/>
        </w:trPr>
        <w:tc>
          <w:tcPr>
            <w:tcW w:w="1009" w:type="dxa"/>
          </w:tcPr>
          <w:p w:rsidR="546928B1" w:rsidRDefault="546928B1" w:rsidP="671BBA62">
            <w:pPr>
              <w:rPr>
                <w:rFonts w:ascii="Calibri" w:eastAsia="Calibri" w:hAnsi="Calibri" w:cs="Calibri"/>
                <w:b/>
                <w:bCs/>
                <w:color w:val="000000" w:themeColor="text1"/>
              </w:rPr>
            </w:pPr>
            <w:r w:rsidRPr="671BBA62">
              <w:rPr>
                <w:rFonts w:ascii="Calibri" w:eastAsia="Calibri" w:hAnsi="Calibri" w:cs="Calibri"/>
                <w:b/>
                <w:bCs/>
                <w:color w:val="000000" w:themeColor="text1"/>
              </w:rPr>
              <w:t>7</w:t>
            </w:r>
          </w:p>
        </w:tc>
        <w:tc>
          <w:tcPr>
            <w:tcW w:w="2054" w:type="dxa"/>
          </w:tcPr>
          <w:p w:rsidR="76A1564B" w:rsidRDefault="1C543A67"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4</w:t>
            </w:r>
          </w:p>
        </w:tc>
        <w:tc>
          <w:tcPr>
            <w:tcW w:w="2054" w:type="dxa"/>
          </w:tcPr>
          <w:p w:rsidR="41BC8DD3" w:rsidRDefault="647EFCB3"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4</w:t>
            </w:r>
          </w:p>
        </w:tc>
        <w:tc>
          <w:tcPr>
            <w:tcW w:w="2054" w:type="dxa"/>
          </w:tcPr>
          <w:p w:rsidR="41BC8DD3" w:rsidRDefault="41BC8DD3"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0</w:t>
            </w:r>
          </w:p>
        </w:tc>
        <w:tc>
          <w:tcPr>
            <w:tcW w:w="2054" w:type="dxa"/>
          </w:tcPr>
          <w:p w:rsidR="671BBA62" w:rsidRDefault="084762E9"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w:t>
            </w:r>
          </w:p>
        </w:tc>
        <w:tc>
          <w:tcPr>
            <w:tcW w:w="2054" w:type="dxa"/>
          </w:tcPr>
          <w:p w:rsidR="671BBA62" w:rsidRDefault="671BBA62" w:rsidP="15B402DD">
            <w:pPr>
              <w:jc w:val="center"/>
              <w:rPr>
                <w:rFonts w:ascii="Calibri" w:eastAsia="Calibri" w:hAnsi="Calibri" w:cs="Calibri"/>
                <w:color w:val="000000" w:themeColor="text1"/>
              </w:rPr>
            </w:pPr>
          </w:p>
        </w:tc>
        <w:tc>
          <w:tcPr>
            <w:tcW w:w="2054" w:type="dxa"/>
          </w:tcPr>
          <w:p w:rsidR="671BBA62" w:rsidRDefault="730DF044"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3</w:t>
            </w:r>
          </w:p>
        </w:tc>
        <w:tc>
          <w:tcPr>
            <w:tcW w:w="2054" w:type="dxa"/>
          </w:tcPr>
          <w:p w:rsidR="671BBA62" w:rsidRDefault="671BBA62" w:rsidP="15B402DD">
            <w:pPr>
              <w:jc w:val="center"/>
              <w:rPr>
                <w:rFonts w:ascii="Calibri" w:eastAsia="Calibri" w:hAnsi="Calibri" w:cs="Calibri"/>
                <w:color w:val="000000" w:themeColor="text1"/>
              </w:rPr>
            </w:pPr>
          </w:p>
        </w:tc>
      </w:tr>
      <w:tr w:rsidR="671BBA62" w:rsidTr="15B402DD">
        <w:trPr>
          <w:trHeight w:val="300"/>
        </w:trPr>
        <w:tc>
          <w:tcPr>
            <w:tcW w:w="1009" w:type="dxa"/>
          </w:tcPr>
          <w:p w:rsidR="546928B1" w:rsidRDefault="546928B1" w:rsidP="671BBA62">
            <w:pPr>
              <w:rPr>
                <w:rFonts w:ascii="Calibri" w:eastAsia="Calibri" w:hAnsi="Calibri" w:cs="Calibri"/>
                <w:b/>
                <w:bCs/>
                <w:color w:val="000000" w:themeColor="text1"/>
              </w:rPr>
            </w:pPr>
            <w:r w:rsidRPr="671BBA62">
              <w:rPr>
                <w:rFonts w:ascii="Calibri" w:eastAsia="Calibri" w:hAnsi="Calibri" w:cs="Calibri"/>
                <w:b/>
                <w:bCs/>
                <w:color w:val="000000" w:themeColor="text1"/>
              </w:rPr>
              <w:t>8</w:t>
            </w:r>
          </w:p>
        </w:tc>
        <w:tc>
          <w:tcPr>
            <w:tcW w:w="2054" w:type="dxa"/>
          </w:tcPr>
          <w:p w:rsidR="1130FD2E" w:rsidRDefault="551877F1"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22</w:t>
            </w:r>
          </w:p>
        </w:tc>
        <w:tc>
          <w:tcPr>
            <w:tcW w:w="2054" w:type="dxa"/>
          </w:tcPr>
          <w:p w:rsidR="1130FD2E" w:rsidRDefault="6AB94E7B"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14</w:t>
            </w:r>
          </w:p>
        </w:tc>
        <w:tc>
          <w:tcPr>
            <w:tcW w:w="2054" w:type="dxa"/>
          </w:tcPr>
          <w:p w:rsidR="1D70B2C3" w:rsidRDefault="36961623" w:rsidP="15B402DD">
            <w:pPr>
              <w:jc w:val="center"/>
            </w:pPr>
            <w:r w:rsidRPr="15B402DD">
              <w:rPr>
                <w:rFonts w:ascii="Calibri" w:eastAsia="Calibri" w:hAnsi="Calibri" w:cs="Calibri"/>
                <w:color w:val="000000" w:themeColor="text1"/>
              </w:rPr>
              <w:t>4</w:t>
            </w:r>
          </w:p>
        </w:tc>
        <w:tc>
          <w:tcPr>
            <w:tcW w:w="2054" w:type="dxa"/>
          </w:tcPr>
          <w:p w:rsidR="671BBA62" w:rsidRDefault="084762E9"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2</w:t>
            </w:r>
          </w:p>
        </w:tc>
        <w:tc>
          <w:tcPr>
            <w:tcW w:w="2054" w:type="dxa"/>
          </w:tcPr>
          <w:p w:rsidR="671BBA62" w:rsidRDefault="6D70355E"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3</w:t>
            </w:r>
          </w:p>
        </w:tc>
        <w:tc>
          <w:tcPr>
            <w:tcW w:w="2054" w:type="dxa"/>
          </w:tcPr>
          <w:p w:rsidR="671BBA62" w:rsidRDefault="224C6CF8"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15</w:t>
            </w:r>
          </w:p>
        </w:tc>
        <w:tc>
          <w:tcPr>
            <w:tcW w:w="2054" w:type="dxa"/>
          </w:tcPr>
          <w:p w:rsidR="671BBA62" w:rsidRDefault="671BBA62" w:rsidP="15B402DD">
            <w:pPr>
              <w:jc w:val="center"/>
              <w:rPr>
                <w:rFonts w:ascii="Calibri" w:eastAsia="Calibri" w:hAnsi="Calibri" w:cs="Calibri"/>
                <w:color w:val="000000" w:themeColor="text1"/>
              </w:rPr>
            </w:pPr>
          </w:p>
        </w:tc>
      </w:tr>
      <w:tr w:rsidR="671BBA62" w:rsidTr="15B402DD">
        <w:trPr>
          <w:trHeight w:val="300"/>
        </w:trPr>
        <w:tc>
          <w:tcPr>
            <w:tcW w:w="1009" w:type="dxa"/>
          </w:tcPr>
          <w:p w:rsidR="546928B1" w:rsidRDefault="546928B1" w:rsidP="671BBA62">
            <w:pPr>
              <w:rPr>
                <w:rFonts w:ascii="Calibri" w:eastAsia="Calibri" w:hAnsi="Calibri" w:cs="Calibri"/>
                <w:b/>
                <w:bCs/>
                <w:color w:val="000000" w:themeColor="text1"/>
              </w:rPr>
            </w:pPr>
            <w:r w:rsidRPr="671BBA62">
              <w:rPr>
                <w:rFonts w:ascii="Calibri" w:eastAsia="Calibri" w:hAnsi="Calibri" w:cs="Calibri"/>
                <w:b/>
                <w:bCs/>
                <w:color w:val="000000" w:themeColor="text1"/>
              </w:rPr>
              <w:t>9</w:t>
            </w:r>
          </w:p>
        </w:tc>
        <w:tc>
          <w:tcPr>
            <w:tcW w:w="2054" w:type="dxa"/>
          </w:tcPr>
          <w:p w:rsidR="03DA20D8" w:rsidRDefault="5A1E8394"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14</w:t>
            </w:r>
          </w:p>
        </w:tc>
        <w:tc>
          <w:tcPr>
            <w:tcW w:w="2054" w:type="dxa"/>
          </w:tcPr>
          <w:p w:rsidR="03DA20D8" w:rsidRDefault="5A903EA5"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6</w:t>
            </w:r>
          </w:p>
        </w:tc>
        <w:tc>
          <w:tcPr>
            <w:tcW w:w="2054" w:type="dxa"/>
          </w:tcPr>
          <w:p w:rsidR="03DA20D8" w:rsidRDefault="4841B415" w:rsidP="15B402DD">
            <w:pPr>
              <w:jc w:val="center"/>
            </w:pPr>
            <w:r w:rsidRPr="15B402DD">
              <w:rPr>
                <w:rFonts w:ascii="Calibri" w:eastAsia="Calibri" w:hAnsi="Calibri" w:cs="Calibri"/>
                <w:color w:val="000000" w:themeColor="text1"/>
              </w:rPr>
              <w:t>8</w:t>
            </w:r>
          </w:p>
        </w:tc>
        <w:tc>
          <w:tcPr>
            <w:tcW w:w="2054" w:type="dxa"/>
          </w:tcPr>
          <w:p w:rsidR="671BBA62" w:rsidRDefault="0C3F2B9C"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2</w:t>
            </w:r>
          </w:p>
        </w:tc>
        <w:tc>
          <w:tcPr>
            <w:tcW w:w="2054" w:type="dxa"/>
          </w:tcPr>
          <w:p w:rsidR="671BBA62" w:rsidRDefault="6D70355E"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w:t>
            </w:r>
          </w:p>
        </w:tc>
        <w:tc>
          <w:tcPr>
            <w:tcW w:w="2054" w:type="dxa"/>
          </w:tcPr>
          <w:p w:rsidR="671BBA62" w:rsidRDefault="6A493A06"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11</w:t>
            </w:r>
          </w:p>
        </w:tc>
        <w:tc>
          <w:tcPr>
            <w:tcW w:w="2054" w:type="dxa"/>
          </w:tcPr>
          <w:p w:rsidR="671BBA62" w:rsidRDefault="671BBA62" w:rsidP="15B402DD">
            <w:pPr>
              <w:jc w:val="center"/>
              <w:rPr>
                <w:rFonts w:ascii="Calibri" w:eastAsia="Calibri" w:hAnsi="Calibri" w:cs="Calibri"/>
                <w:color w:val="000000" w:themeColor="text1"/>
              </w:rPr>
            </w:pPr>
          </w:p>
        </w:tc>
      </w:tr>
      <w:tr w:rsidR="671BBA62" w:rsidTr="15B402DD">
        <w:trPr>
          <w:trHeight w:val="300"/>
        </w:trPr>
        <w:tc>
          <w:tcPr>
            <w:tcW w:w="1009" w:type="dxa"/>
          </w:tcPr>
          <w:p w:rsidR="546928B1" w:rsidRDefault="546928B1" w:rsidP="671BBA62">
            <w:pPr>
              <w:rPr>
                <w:rFonts w:ascii="Calibri" w:eastAsia="Calibri" w:hAnsi="Calibri" w:cs="Calibri"/>
                <w:b/>
                <w:bCs/>
                <w:color w:val="000000" w:themeColor="text1"/>
              </w:rPr>
            </w:pPr>
            <w:r w:rsidRPr="671BBA62">
              <w:rPr>
                <w:rFonts w:ascii="Calibri" w:eastAsia="Calibri" w:hAnsi="Calibri" w:cs="Calibri"/>
                <w:b/>
                <w:bCs/>
                <w:color w:val="000000" w:themeColor="text1"/>
              </w:rPr>
              <w:t>10</w:t>
            </w:r>
          </w:p>
        </w:tc>
        <w:tc>
          <w:tcPr>
            <w:tcW w:w="2054" w:type="dxa"/>
          </w:tcPr>
          <w:p w:rsidR="0CE001DE" w:rsidRDefault="5C95425B"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32</w:t>
            </w:r>
          </w:p>
        </w:tc>
        <w:tc>
          <w:tcPr>
            <w:tcW w:w="2054" w:type="dxa"/>
          </w:tcPr>
          <w:p w:rsidR="0CE001DE" w:rsidRDefault="70AC9527"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15</w:t>
            </w:r>
          </w:p>
        </w:tc>
        <w:tc>
          <w:tcPr>
            <w:tcW w:w="2054" w:type="dxa"/>
          </w:tcPr>
          <w:p w:rsidR="0CE001DE" w:rsidRDefault="47BC451C" w:rsidP="15B402DD">
            <w:pPr>
              <w:jc w:val="center"/>
            </w:pPr>
            <w:r w:rsidRPr="15B402DD">
              <w:rPr>
                <w:rFonts w:ascii="Calibri" w:eastAsia="Calibri" w:hAnsi="Calibri" w:cs="Calibri"/>
                <w:color w:val="000000" w:themeColor="text1"/>
              </w:rPr>
              <w:t>14</w:t>
            </w:r>
          </w:p>
        </w:tc>
        <w:tc>
          <w:tcPr>
            <w:tcW w:w="2054" w:type="dxa"/>
          </w:tcPr>
          <w:p w:rsidR="671BBA62" w:rsidRDefault="61444237"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6</w:t>
            </w:r>
          </w:p>
        </w:tc>
        <w:tc>
          <w:tcPr>
            <w:tcW w:w="2054" w:type="dxa"/>
          </w:tcPr>
          <w:p w:rsidR="671BBA62" w:rsidRDefault="00C3C72A"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4</w:t>
            </w:r>
          </w:p>
        </w:tc>
        <w:tc>
          <w:tcPr>
            <w:tcW w:w="2054" w:type="dxa"/>
          </w:tcPr>
          <w:p w:rsidR="671BBA62" w:rsidRDefault="6A493A06"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19</w:t>
            </w:r>
          </w:p>
        </w:tc>
        <w:tc>
          <w:tcPr>
            <w:tcW w:w="2054" w:type="dxa"/>
          </w:tcPr>
          <w:p w:rsidR="671BBA62" w:rsidRDefault="671BBA62" w:rsidP="15B402DD">
            <w:pPr>
              <w:jc w:val="center"/>
              <w:rPr>
                <w:rFonts w:ascii="Calibri" w:eastAsia="Calibri" w:hAnsi="Calibri" w:cs="Calibri"/>
                <w:color w:val="000000" w:themeColor="text1"/>
              </w:rPr>
            </w:pPr>
          </w:p>
        </w:tc>
      </w:tr>
      <w:tr w:rsidR="671BBA62" w:rsidTr="15B402DD">
        <w:trPr>
          <w:trHeight w:val="300"/>
        </w:trPr>
        <w:tc>
          <w:tcPr>
            <w:tcW w:w="1009" w:type="dxa"/>
          </w:tcPr>
          <w:p w:rsidR="546928B1" w:rsidRDefault="546928B1" w:rsidP="671BBA62">
            <w:pPr>
              <w:rPr>
                <w:rFonts w:ascii="Calibri" w:eastAsia="Calibri" w:hAnsi="Calibri" w:cs="Calibri"/>
                <w:b/>
                <w:bCs/>
                <w:color w:val="000000" w:themeColor="text1"/>
              </w:rPr>
            </w:pPr>
            <w:r w:rsidRPr="671BBA62">
              <w:rPr>
                <w:rFonts w:ascii="Calibri" w:eastAsia="Calibri" w:hAnsi="Calibri" w:cs="Calibri"/>
                <w:b/>
                <w:bCs/>
                <w:color w:val="000000" w:themeColor="text1"/>
              </w:rPr>
              <w:t>11</w:t>
            </w:r>
          </w:p>
        </w:tc>
        <w:tc>
          <w:tcPr>
            <w:tcW w:w="2054" w:type="dxa"/>
          </w:tcPr>
          <w:p w:rsidR="5F63A573" w:rsidRDefault="4F5F0F2E"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26</w:t>
            </w:r>
          </w:p>
        </w:tc>
        <w:tc>
          <w:tcPr>
            <w:tcW w:w="2054" w:type="dxa"/>
          </w:tcPr>
          <w:p w:rsidR="09A086BE" w:rsidRDefault="70AC9527"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15</w:t>
            </w:r>
          </w:p>
        </w:tc>
        <w:tc>
          <w:tcPr>
            <w:tcW w:w="2054" w:type="dxa"/>
          </w:tcPr>
          <w:p w:rsidR="09A086BE" w:rsidRDefault="09A086BE"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w:t>
            </w:r>
            <w:r w:rsidR="0BE4D8AB" w:rsidRPr="15B402DD">
              <w:rPr>
                <w:rFonts w:ascii="Calibri" w:eastAsia="Calibri" w:hAnsi="Calibri" w:cs="Calibri"/>
                <w:color w:val="000000" w:themeColor="text1"/>
              </w:rPr>
              <w:t>1</w:t>
            </w:r>
          </w:p>
        </w:tc>
        <w:tc>
          <w:tcPr>
            <w:tcW w:w="2054" w:type="dxa"/>
          </w:tcPr>
          <w:p w:rsidR="671BBA62" w:rsidRDefault="4D718006"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9</w:t>
            </w:r>
          </w:p>
        </w:tc>
        <w:tc>
          <w:tcPr>
            <w:tcW w:w="2054" w:type="dxa"/>
          </w:tcPr>
          <w:p w:rsidR="671BBA62" w:rsidRDefault="00C3C72A"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2</w:t>
            </w:r>
          </w:p>
        </w:tc>
        <w:tc>
          <w:tcPr>
            <w:tcW w:w="2054" w:type="dxa"/>
          </w:tcPr>
          <w:p w:rsidR="671BBA62" w:rsidRDefault="06EAC9E1" w:rsidP="15B402DD">
            <w:pPr>
              <w:jc w:val="center"/>
              <w:rPr>
                <w:rFonts w:ascii="Calibri" w:eastAsia="Calibri" w:hAnsi="Calibri" w:cs="Calibri"/>
                <w:color w:val="000000" w:themeColor="text1"/>
              </w:rPr>
            </w:pPr>
            <w:r w:rsidRPr="15B402DD">
              <w:rPr>
                <w:rFonts w:ascii="Calibri" w:eastAsia="Calibri" w:hAnsi="Calibri" w:cs="Calibri"/>
                <w:color w:val="000000" w:themeColor="text1"/>
              </w:rPr>
              <w:t>14</w:t>
            </w:r>
          </w:p>
        </w:tc>
        <w:tc>
          <w:tcPr>
            <w:tcW w:w="2054" w:type="dxa"/>
          </w:tcPr>
          <w:p w:rsidR="671BBA62" w:rsidRDefault="671BBA62" w:rsidP="15B402DD">
            <w:pPr>
              <w:jc w:val="center"/>
              <w:rPr>
                <w:rFonts w:ascii="Calibri" w:eastAsia="Calibri" w:hAnsi="Calibri" w:cs="Calibri"/>
                <w:color w:val="000000" w:themeColor="text1"/>
              </w:rPr>
            </w:pPr>
          </w:p>
        </w:tc>
      </w:tr>
    </w:tbl>
    <w:p w:rsidR="0D9F1988" w:rsidRDefault="0D9F1988" w:rsidP="0D9F1988"/>
    <w:tbl>
      <w:tblPr>
        <w:tblStyle w:val="TableGrid"/>
        <w:tblW w:w="0" w:type="auto"/>
        <w:tblLayout w:type="fixed"/>
        <w:tblLook w:val="06A0" w:firstRow="1" w:lastRow="0" w:firstColumn="1" w:lastColumn="0" w:noHBand="1" w:noVBand="1"/>
      </w:tblPr>
      <w:tblGrid>
        <w:gridCol w:w="15390"/>
      </w:tblGrid>
      <w:tr w:rsidR="671BBA62" w:rsidTr="15B402DD">
        <w:trPr>
          <w:trHeight w:val="300"/>
        </w:trPr>
        <w:tc>
          <w:tcPr>
            <w:tcW w:w="15390" w:type="dxa"/>
            <w:shd w:val="clear" w:color="auto" w:fill="E59EDC" w:themeFill="accent5" w:themeFillTint="66"/>
          </w:tcPr>
          <w:p w:rsidR="00B4A6A1" w:rsidRDefault="3D28CC41" w:rsidP="15B402DD">
            <w:pPr>
              <w:spacing w:before="240"/>
              <w:rPr>
                <w:rFonts w:ascii="Calibri" w:eastAsia="Calibri" w:hAnsi="Calibri" w:cs="Calibri"/>
                <w:color w:val="000000" w:themeColor="text1"/>
              </w:rPr>
            </w:pPr>
            <w:r w:rsidRPr="15B402DD">
              <w:rPr>
                <w:rFonts w:ascii="Calibri" w:eastAsia="Calibri" w:hAnsi="Calibri" w:cs="Calibri"/>
                <w:b/>
                <w:bCs/>
                <w:color w:val="000000" w:themeColor="text1"/>
              </w:rPr>
              <w:t>Communication and interaction:</w:t>
            </w:r>
            <w:r w:rsidRPr="15B402DD">
              <w:rPr>
                <w:rFonts w:ascii="Calibri" w:eastAsia="Calibri" w:hAnsi="Calibri" w:cs="Calibri"/>
                <w:color w:val="000000" w:themeColor="text1"/>
              </w:rPr>
              <w:t xml:space="preserve"> Autistic Spectrum Disorder: Students are likely to have </w:t>
            </w:r>
            <w:r w:rsidR="21A43A90" w:rsidRPr="15B402DD">
              <w:rPr>
                <w:rFonts w:ascii="Calibri" w:eastAsia="Calibri" w:hAnsi="Calibri" w:cs="Calibri"/>
                <w:color w:val="000000" w:themeColor="text1"/>
              </w:rPr>
              <w:t>difficulties</w:t>
            </w:r>
            <w:r w:rsidRPr="15B402DD">
              <w:rPr>
                <w:rFonts w:ascii="Calibri" w:eastAsia="Calibri" w:hAnsi="Calibri" w:cs="Calibri"/>
                <w:color w:val="000000" w:themeColor="text1"/>
              </w:rPr>
              <w:t xml:space="preserve"> with social interaction, language, communication and imagination.</w:t>
            </w:r>
          </w:p>
          <w:p w:rsidR="00B4A6A1" w:rsidRDefault="00B4A6A1" w:rsidP="671BBA62">
            <w:pPr>
              <w:spacing w:before="240"/>
              <w:rPr>
                <w:rFonts w:ascii="Calibri" w:eastAsia="Calibri" w:hAnsi="Calibri" w:cs="Calibri"/>
                <w:color w:val="000000" w:themeColor="text1"/>
              </w:rPr>
            </w:pPr>
            <w:r w:rsidRPr="671BBA62">
              <w:rPr>
                <w:rFonts w:ascii="Calibri" w:eastAsia="Calibri" w:hAnsi="Calibri" w:cs="Calibri"/>
                <w:color w:val="000000" w:themeColor="text1"/>
              </w:rPr>
              <w:t xml:space="preserve"> </w:t>
            </w:r>
            <w:r w:rsidR="62B531BF" w:rsidRPr="671BBA62">
              <w:rPr>
                <w:rFonts w:ascii="Calibri" w:eastAsia="Calibri" w:hAnsi="Calibri" w:cs="Calibri"/>
                <w:color w:val="000000" w:themeColor="text1"/>
              </w:rPr>
              <w:t>S</w:t>
            </w:r>
            <w:r w:rsidRPr="671BBA62">
              <w:rPr>
                <w:rFonts w:ascii="Calibri" w:eastAsia="Calibri" w:hAnsi="Calibri" w:cs="Calibri"/>
                <w:color w:val="000000" w:themeColor="text1"/>
              </w:rPr>
              <w:t>peech, Language and Communication Needs- students may have difficulty communicating with others because they find it hard to say what they want, understand what is being said to them or understand the social rules of communication</w:t>
            </w:r>
            <w:r w:rsidR="5866C2B2" w:rsidRPr="671BBA62">
              <w:rPr>
                <w:rFonts w:ascii="Calibri" w:eastAsia="Calibri" w:hAnsi="Calibri" w:cs="Calibri"/>
                <w:color w:val="000000" w:themeColor="text1"/>
              </w:rPr>
              <w:t>.</w:t>
            </w:r>
          </w:p>
        </w:tc>
      </w:tr>
      <w:tr w:rsidR="671BBA62" w:rsidTr="15B402DD">
        <w:trPr>
          <w:trHeight w:val="300"/>
        </w:trPr>
        <w:tc>
          <w:tcPr>
            <w:tcW w:w="15390" w:type="dxa"/>
            <w:shd w:val="clear" w:color="auto" w:fill="CAEDFB" w:themeFill="accent4" w:themeFillTint="33"/>
          </w:tcPr>
          <w:p w:rsidR="00B4A6A1" w:rsidRDefault="00B4A6A1" w:rsidP="671BBA62">
            <w:pPr>
              <w:rPr>
                <w:rFonts w:ascii="Calibri" w:eastAsia="Calibri" w:hAnsi="Calibri" w:cs="Calibri"/>
                <w:color w:val="000000" w:themeColor="text1"/>
              </w:rPr>
            </w:pPr>
            <w:r w:rsidRPr="671BBA62">
              <w:rPr>
                <w:rFonts w:ascii="Calibri" w:eastAsia="Calibri" w:hAnsi="Calibri" w:cs="Calibri"/>
                <w:b/>
                <w:bCs/>
                <w:color w:val="000000" w:themeColor="text1"/>
              </w:rPr>
              <w:t>Cognition and learning</w:t>
            </w:r>
            <w:r w:rsidRPr="671BBA62">
              <w:rPr>
                <w:rFonts w:ascii="Calibri" w:eastAsia="Calibri" w:hAnsi="Calibri" w:cs="Calibri"/>
                <w:color w:val="000000" w:themeColor="text1"/>
              </w:rPr>
              <w:t xml:space="preserve"> – some student may have difficulty learning and may learn at a slower pace than their peers even with differentiated work (MLD).</w:t>
            </w:r>
          </w:p>
          <w:p w:rsidR="00B4A6A1" w:rsidRDefault="00B4A6A1" w:rsidP="671BBA62">
            <w:pPr>
              <w:rPr>
                <w:rFonts w:ascii="Calibri" w:eastAsia="Calibri" w:hAnsi="Calibri" w:cs="Calibri"/>
                <w:color w:val="000000" w:themeColor="text1"/>
              </w:rPr>
            </w:pPr>
            <w:r w:rsidRPr="671BBA62">
              <w:rPr>
                <w:rFonts w:ascii="Calibri" w:eastAsia="Calibri" w:hAnsi="Calibri" w:cs="Calibri"/>
                <w:color w:val="000000" w:themeColor="text1"/>
              </w:rPr>
              <w:t>Some student may have specific learning difficulties (</w:t>
            </w:r>
            <w:proofErr w:type="spellStart"/>
            <w:r w:rsidRPr="671BBA62">
              <w:rPr>
                <w:rFonts w:ascii="Calibri" w:eastAsia="Calibri" w:hAnsi="Calibri" w:cs="Calibri"/>
                <w:color w:val="000000" w:themeColor="text1"/>
              </w:rPr>
              <w:t>SpLD</w:t>
            </w:r>
            <w:proofErr w:type="spellEnd"/>
            <w:r w:rsidRPr="671BBA62">
              <w:rPr>
                <w:rFonts w:ascii="Calibri" w:eastAsia="Calibri" w:hAnsi="Calibri" w:cs="Calibri"/>
                <w:color w:val="000000" w:themeColor="text1"/>
              </w:rPr>
              <w:t>) for example dyslexia or dyspraxia</w:t>
            </w:r>
          </w:p>
        </w:tc>
      </w:tr>
      <w:tr w:rsidR="671BBA62" w:rsidTr="15B402DD">
        <w:trPr>
          <w:trHeight w:val="300"/>
        </w:trPr>
        <w:tc>
          <w:tcPr>
            <w:tcW w:w="15390" w:type="dxa"/>
            <w:shd w:val="clear" w:color="auto" w:fill="C1F0C7" w:themeFill="accent3" w:themeFillTint="33"/>
          </w:tcPr>
          <w:p w:rsidR="00B4A6A1" w:rsidRDefault="00B4A6A1" w:rsidP="671BBA62">
            <w:pPr>
              <w:rPr>
                <w:rFonts w:ascii="Calibri" w:eastAsia="Calibri" w:hAnsi="Calibri" w:cs="Calibri"/>
                <w:color w:val="000000" w:themeColor="text1"/>
              </w:rPr>
            </w:pPr>
            <w:r w:rsidRPr="671BBA62">
              <w:rPr>
                <w:rFonts w:ascii="Calibri" w:eastAsia="Calibri" w:hAnsi="Calibri" w:cs="Calibri"/>
                <w:b/>
                <w:bCs/>
                <w:color w:val="000000" w:themeColor="text1"/>
              </w:rPr>
              <w:t>Social, emotional and mental health</w:t>
            </w:r>
            <w:r w:rsidRPr="671BBA62">
              <w:rPr>
                <w:rFonts w:ascii="Calibri" w:eastAsia="Calibri" w:hAnsi="Calibri" w:cs="Calibri"/>
                <w:color w:val="000000" w:themeColor="text1"/>
              </w:rPr>
              <w:t>- some student may display challenging, disruptive or disturbing behaviour which may reflect an underlying mental</w:t>
            </w:r>
          </w:p>
          <w:p w:rsidR="00B4A6A1" w:rsidRDefault="00B4A6A1" w:rsidP="671BBA62">
            <w:pPr>
              <w:rPr>
                <w:rFonts w:ascii="Calibri" w:eastAsia="Calibri" w:hAnsi="Calibri" w:cs="Calibri"/>
                <w:color w:val="000000" w:themeColor="text1"/>
              </w:rPr>
            </w:pPr>
            <w:proofErr w:type="gramStart"/>
            <w:r w:rsidRPr="671BBA62">
              <w:rPr>
                <w:rFonts w:ascii="Calibri" w:eastAsia="Calibri" w:hAnsi="Calibri" w:cs="Calibri"/>
                <w:color w:val="000000" w:themeColor="text1"/>
              </w:rPr>
              <w:t>health</w:t>
            </w:r>
            <w:proofErr w:type="gramEnd"/>
            <w:r w:rsidRPr="671BBA62">
              <w:rPr>
                <w:rFonts w:ascii="Calibri" w:eastAsia="Calibri" w:hAnsi="Calibri" w:cs="Calibri"/>
                <w:color w:val="000000" w:themeColor="text1"/>
              </w:rPr>
              <w:t xml:space="preserve"> difficulty such as anxiety or depression, substance misuse, self-harming or eating disorders. Other students may have other disorders such as attention</w:t>
            </w:r>
            <w:r w:rsidR="687D3956"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deficit, hyperactivity or attachment.</w:t>
            </w:r>
          </w:p>
        </w:tc>
      </w:tr>
      <w:tr w:rsidR="671BBA62" w:rsidTr="15B402DD">
        <w:trPr>
          <w:trHeight w:val="300"/>
        </w:trPr>
        <w:tc>
          <w:tcPr>
            <w:tcW w:w="15390" w:type="dxa"/>
            <w:shd w:val="clear" w:color="auto" w:fill="FAE2D5" w:themeFill="accent2" w:themeFillTint="33"/>
          </w:tcPr>
          <w:p w:rsidR="00B4A6A1" w:rsidRDefault="00B4A6A1" w:rsidP="671BBA62">
            <w:pPr>
              <w:rPr>
                <w:rFonts w:ascii="Calibri" w:eastAsia="Calibri" w:hAnsi="Calibri" w:cs="Calibri"/>
                <w:color w:val="000000" w:themeColor="text1"/>
              </w:rPr>
            </w:pPr>
            <w:r w:rsidRPr="671BBA62">
              <w:rPr>
                <w:rFonts w:ascii="Calibri" w:eastAsia="Calibri" w:hAnsi="Calibri" w:cs="Calibri"/>
                <w:b/>
                <w:bCs/>
                <w:color w:val="000000" w:themeColor="text1"/>
              </w:rPr>
              <w:t>Sensory and/or physical needs</w:t>
            </w:r>
            <w:r w:rsidRPr="671BBA62">
              <w:rPr>
                <w:rFonts w:ascii="Calibri" w:eastAsia="Calibri" w:hAnsi="Calibri" w:cs="Calibri"/>
                <w:color w:val="000000" w:themeColor="text1"/>
              </w:rPr>
              <w:t xml:space="preserve"> – some students with vision impairment or hearing impairment (HI) or a multi-sensory impairment. Some students may</w:t>
            </w:r>
          </w:p>
          <w:p w:rsidR="00B4A6A1" w:rsidRDefault="00B4A6A1" w:rsidP="671BBA62">
            <w:pPr>
              <w:rPr>
                <w:rFonts w:ascii="Calibri" w:eastAsia="Calibri" w:hAnsi="Calibri" w:cs="Calibri"/>
                <w:color w:val="000000" w:themeColor="text1"/>
              </w:rPr>
            </w:pPr>
            <w:proofErr w:type="gramStart"/>
            <w:r w:rsidRPr="671BBA62">
              <w:rPr>
                <w:rFonts w:ascii="Calibri" w:eastAsia="Calibri" w:hAnsi="Calibri" w:cs="Calibri"/>
                <w:color w:val="000000" w:themeColor="text1"/>
              </w:rPr>
              <w:t>also</w:t>
            </w:r>
            <w:proofErr w:type="gramEnd"/>
            <w:r w:rsidRPr="671BBA62">
              <w:rPr>
                <w:rFonts w:ascii="Calibri" w:eastAsia="Calibri" w:hAnsi="Calibri" w:cs="Calibri"/>
                <w:color w:val="000000" w:themeColor="text1"/>
              </w:rPr>
              <w:t xml:space="preserve"> have a physical disability and may require specialist equipment and support to access their learning.</w:t>
            </w:r>
          </w:p>
          <w:p w:rsidR="671BBA62" w:rsidRDefault="671BBA62" w:rsidP="671BBA62">
            <w:pPr>
              <w:rPr>
                <w:rFonts w:ascii="Calibri" w:eastAsia="Calibri" w:hAnsi="Calibri" w:cs="Calibri"/>
              </w:rPr>
            </w:pP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27BEE187" w:rsidRDefault="27BEE187" w:rsidP="671BBA62">
            <w:pPr>
              <w:rPr>
                <w:rFonts w:ascii="Calibri" w:eastAsia="Calibri" w:hAnsi="Calibri" w:cs="Calibri"/>
                <w:color w:val="000000" w:themeColor="text1"/>
              </w:rPr>
            </w:pPr>
            <w:r w:rsidRPr="671BBA62">
              <w:rPr>
                <w:rFonts w:ascii="Calibri" w:eastAsia="Calibri" w:hAnsi="Calibri" w:cs="Calibri"/>
                <w:color w:val="000000" w:themeColor="text1"/>
              </w:rPr>
              <w:t>1. What kinds of special educational needs does the school provide for?</w:t>
            </w:r>
          </w:p>
        </w:tc>
      </w:tr>
      <w:tr w:rsidR="671BBA62" w:rsidTr="671BBA62">
        <w:trPr>
          <w:trHeight w:val="300"/>
        </w:trPr>
        <w:tc>
          <w:tcPr>
            <w:tcW w:w="15390" w:type="dxa"/>
          </w:tcPr>
          <w:p w:rsidR="671BBA62" w:rsidRDefault="671BBA62" w:rsidP="671BBA62">
            <w:pPr>
              <w:rPr>
                <w:rFonts w:ascii="Calibri" w:eastAsia="Calibri" w:hAnsi="Calibri" w:cs="Calibri"/>
                <w:color w:val="000000" w:themeColor="text1"/>
              </w:rPr>
            </w:pPr>
          </w:p>
          <w:p w:rsidR="27BEE187" w:rsidRDefault="27BEE187" w:rsidP="671BBA62">
            <w:pPr>
              <w:rPr>
                <w:rFonts w:ascii="Calibri" w:eastAsia="Calibri" w:hAnsi="Calibri" w:cs="Calibri"/>
                <w:color w:val="000000" w:themeColor="text1"/>
              </w:rPr>
            </w:pPr>
            <w:r w:rsidRPr="671BBA62">
              <w:rPr>
                <w:rFonts w:ascii="Calibri" w:eastAsia="Calibri" w:hAnsi="Calibri" w:cs="Calibri"/>
                <w:color w:val="000000" w:themeColor="text1"/>
              </w:rPr>
              <w:t>It is anticipated that most students referred to Compass will be on the Code of Practice (SEN Support) and many of those will present with a Special</w:t>
            </w:r>
          </w:p>
          <w:p w:rsidR="27BEE187" w:rsidRDefault="27BEE187" w:rsidP="671BBA62">
            <w:pPr>
              <w:rPr>
                <w:rFonts w:ascii="Calibri" w:eastAsia="Calibri" w:hAnsi="Calibri" w:cs="Calibri"/>
                <w:color w:val="000000" w:themeColor="text1"/>
              </w:rPr>
            </w:pPr>
            <w:r w:rsidRPr="671BBA62">
              <w:rPr>
                <w:rFonts w:ascii="Calibri" w:eastAsia="Calibri" w:hAnsi="Calibri" w:cs="Calibri"/>
                <w:color w:val="000000" w:themeColor="text1"/>
              </w:rPr>
              <w:t>Educational Need or Disability (SEND). However, we recognise that individuals referred to us have unique and sometimes complex needs. Compass may cater for students with Social, Emotional and Mental Health needs, Autistic Spectrum Disorder, Attention Deficit Hyperactivity Disorder and some medical</w:t>
            </w:r>
          </w:p>
          <w:p w:rsidR="27BEE187" w:rsidRDefault="27BEE187" w:rsidP="671BBA62">
            <w:pPr>
              <w:rPr>
                <w:rFonts w:ascii="Calibri" w:eastAsia="Calibri" w:hAnsi="Calibri" w:cs="Calibri"/>
                <w:color w:val="000000" w:themeColor="text1"/>
              </w:rPr>
            </w:pPr>
            <w:proofErr w:type="gramStart"/>
            <w:r w:rsidRPr="671BBA62">
              <w:rPr>
                <w:rFonts w:ascii="Calibri" w:eastAsia="Calibri" w:hAnsi="Calibri" w:cs="Calibri"/>
                <w:color w:val="000000" w:themeColor="text1"/>
              </w:rPr>
              <w:t>referrals</w:t>
            </w:r>
            <w:proofErr w:type="gramEnd"/>
            <w:r w:rsidRPr="671BBA62">
              <w:rPr>
                <w:rFonts w:ascii="Calibri" w:eastAsia="Calibri" w:hAnsi="Calibri" w:cs="Calibri"/>
                <w:color w:val="000000" w:themeColor="text1"/>
              </w:rPr>
              <w:t>. This list is neither exhaustive nor exclusive.</w:t>
            </w:r>
          </w:p>
          <w:p w:rsidR="671BBA62" w:rsidRDefault="671BBA62" w:rsidP="671BBA62">
            <w:pPr>
              <w:rPr>
                <w:rFonts w:ascii="Calibri" w:eastAsia="Calibri" w:hAnsi="Calibri" w:cs="Calibri"/>
              </w:rPr>
            </w:pP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0384FE7A" w:rsidRDefault="0384FE7A" w:rsidP="671BBA62">
            <w:pPr>
              <w:rPr>
                <w:rFonts w:ascii="Calibri" w:eastAsia="Calibri" w:hAnsi="Calibri" w:cs="Calibri"/>
              </w:rPr>
            </w:pPr>
            <w:r w:rsidRPr="671BBA62">
              <w:rPr>
                <w:rFonts w:ascii="Calibri" w:eastAsia="Calibri" w:hAnsi="Calibri" w:cs="Calibri"/>
              </w:rPr>
              <w:lastRenderedPageBreak/>
              <w:t xml:space="preserve">2. </w:t>
            </w:r>
            <w:r w:rsidRPr="671BBA62">
              <w:rPr>
                <w:rFonts w:ascii="Calibri" w:eastAsia="Calibri" w:hAnsi="Calibri" w:cs="Calibri"/>
                <w:color w:val="000000" w:themeColor="text1"/>
              </w:rPr>
              <w:t>How does the school know if student/ young people need extra help and what should I do if I think my child/young person may have special educational needs?</w:t>
            </w:r>
          </w:p>
        </w:tc>
      </w:tr>
      <w:tr w:rsidR="671BBA62" w:rsidTr="671BBA62">
        <w:trPr>
          <w:trHeight w:val="300"/>
        </w:trPr>
        <w:tc>
          <w:tcPr>
            <w:tcW w:w="15390" w:type="dxa"/>
          </w:tcPr>
          <w:p w:rsidR="671BBA62" w:rsidRDefault="671BBA62" w:rsidP="671BBA62">
            <w:pPr>
              <w:rPr>
                <w:rFonts w:ascii="Calibri" w:eastAsia="Calibri" w:hAnsi="Calibri" w:cs="Calibri"/>
                <w:color w:val="000000" w:themeColor="text1"/>
              </w:rPr>
            </w:pP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When your child first comes to us we use information from:</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end of key stage 2 levels</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base line testing, Cognitive Ability Tests and other specific tests i.e. spelling, reading ages, SNAP</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parents/carers</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referral form information</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specialist colleagues, external agencies</w:t>
            </w:r>
          </w:p>
          <w:p w:rsidR="671BBA62" w:rsidRDefault="671BBA62" w:rsidP="671BBA62">
            <w:pPr>
              <w:rPr>
                <w:rFonts w:ascii="Calibri" w:eastAsia="Calibri" w:hAnsi="Calibri" w:cs="Calibri"/>
                <w:color w:val="000000" w:themeColor="text1"/>
              </w:rPr>
            </w:pP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As your child gets older we use information or referrals from:</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termly assessments and interim data</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subject teachers and tutors</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parental concerns</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 external agencies</w:t>
            </w:r>
            <w:r w:rsidR="2EA11DF5" w:rsidRPr="671BBA62">
              <w:rPr>
                <w:rFonts w:ascii="Calibri" w:eastAsia="Calibri" w:hAnsi="Calibri" w:cs="Calibri"/>
                <w:color w:val="000000" w:themeColor="text1"/>
              </w:rPr>
              <w:t xml:space="preserve"> reports</w:t>
            </w:r>
          </w:p>
          <w:p w:rsidR="0384FE7A" w:rsidRDefault="0384FE7A" w:rsidP="671BBA62">
            <w:pPr>
              <w:rPr>
                <w:rFonts w:ascii="Calibri" w:eastAsia="Calibri" w:hAnsi="Calibri" w:cs="Calibri"/>
                <w:color w:val="000000" w:themeColor="text1"/>
              </w:rPr>
            </w:pPr>
            <w:r w:rsidRPr="671BBA62">
              <w:rPr>
                <w:rFonts w:ascii="Calibri" w:eastAsia="Calibri" w:hAnsi="Calibri" w:cs="Calibri"/>
                <w:color w:val="000000" w:themeColor="text1"/>
              </w:rPr>
              <w:t>If your child needs to be assessed we would use a range of assessments depending on the area of need with referrals to specific agencies if</w:t>
            </w:r>
            <w:r w:rsidR="50F62B51"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appropriate.</w:t>
            </w:r>
            <w:r w:rsidR="62E9DAEC"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If it is thought a family needs support we have good working relationships with outside agencies and a referral can be made to them</w:t>
            </w:r>
          </w:p>
          <w:p w:rsidR="671BBA62" w:rsidRDefault="671BBA62" w:rsidP="671BBA62">
            <w:pPr>
              <w:rPr>
                <w:rFonts w:ascii="Calibri" w:eastAsia="Calibri" w:hAnsi="Calibri" w:cs="Calibri"/>
              </w:rPr>
            </w:pP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0384FE7A" w:rsidRDefault="0384FE7A" w:rsidP="671BBA62">
            <w:pPr>
              <w:rPr>
                <w:rFonts w:ascii="Calibri" w:eastAsia="Calibri" w:hAnsi="Calibri" w:cs="Calibri"/>
              </w:rPr>
            </w:pPr>
            <w:r w:rsidRPr="671BBA62">
              <w:rPr>
                <w:rFonts w:ascii="Calibri" w:eastAsia="Calibri" w:hAnsi="Calibri" w:cs="Calibri"/>
                <w:color w:val="000000" w:themeColor="text1"/>
              </w:rPr>
              <w:t>3. How will both you and I know how my child/young person is doing?</w:t>
            </w:r>
          </w:p>
        </w:tc>
      </w:tr>
      <w:tr w:rsidR="671BBA62" w:rsidTr="671BBA62">
        <w:trPr>
          <w:trHeight w:val="300"/>
        </w:trPr>
        <w:tc>
          <w:tcPr>
            <w:tcW w:w="15390" w:type="dxa"/>
          </w:tcPr>
          <w:p w:rsidR="0384FE7A" w:rsidRDefault="0384FE7A"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Compass staff invite parents to meet with them at least once a year in addition to this we issue reports explaining how well your child is doing in each subject</w:t>
            </w:r>
            <w:r w:rsidR="3A3F3245"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area at least twice throughout the year. In addition to this teachers or support staff can phone, text or email parents as appropriate. For</w:t>
            </w:r>
            <w:r w:rsidR="2EDF3010"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those students with an Education, Health and Care Plan, a progress review is held annually. Parents / carers and the student are central in planning their son</w:t>
            </w:r>
            <w:r w:rsidR="3A01BCC2"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 xml:space="preserve">/ daughter’s </w:t>
            </w:r>
            <w:r w:rsidR="3DF3485E" w:rsidRPr="671BBA62">
              <w:rPr>
                <w:rFonts w:ascii="Calibri" w:eastAsia="Calibri" w:hAnsi="Calibri" w:cs="Calibri"/>
                <w:color w:val="000000" w:themeColor="text1"/>
              </w:rPr>
              <w:t>this review and</w:t>
            </w:r>
            <w:r w:rsidRPr="671BBA62">
              <w:rPr>
                <w:rFonts w:ascii="Calibri" w:eastAsia="Calibri" w:hAnsi="Calibri" w:cs="Calibri"/>
                <w:color w:val="000000" w:themeColor="text1"/>
              </w:rPr>
              <w:t xml:space="preserve"> at every opportunity thereafter.</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4. How will the curriculum be matched to my child/young person’s needs?</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All Compass students have a timetable based on their needs, abilities and circumstances. Students at Compass will be taught on site in small groups for all</w:t>
            </w:r>
            <w:r w:rsidR="3122C62A"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core subjects. In KS4 a core curriculum of English, Maths, Science, Life Skills and travel &amp; tourism will be offered to all students. At KS3 the core offer is</w:t>
            </w:r>
            <w:r w:rsidR="3FC17D84"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 xml:space="preserve">English, Maths, Science, IT, Art, humanities, DT (Food) and Sport. In KS4 the students </w:t>
            </w:r>
            <w:proofErr w:type="spellStart"/>
            <w:r w:rsidRPr="671BBA62">
              <w:rPr>
                <w:rFonts w:ascii="Calibri" w:eastAsia="Calibri" w:hAnsi="Calibri" w:cs="Calibri"/>
                <w:color w:val="000000" w:themeColor="text1"/>
              </w:rPr>
              <w:t>maybe</w:t>
            </w:r>
            <w:proofErr w:type="spellEnd"/>
            <w:r w:rsidRPr="671BBA62">
              <w:rPr>
                <w:rFonts w:ascii="Calibri" w:eastAsia="Calibri" w:hAnsi="Calibri" w:cs="Calibri"/>
                <w:color w:val="000000" w:themeColor="text1"/>
              </w:rPr>
              <w:t xml:space="preserve"> supported by subjects taught by alternative providers off-site</w:t>
            </w:r>
            <w:r w:rsidR="200B3860"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or outreach sessions. Compass provides a flexible, adaptable and fluid approach to learning to meet the needs of our students</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5. How will school staff support my child/young person?</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We are a close team and all staff will work together to identify your child’s needs and plan any provision or intervention. Your child will also have a Pastoral</w:t>
            </w:r>
            <w:r w:rsidR="254D7587"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Mentor who will be responsible for day-to-day communication with parents / carers. It is expected that your child will develop a strong relationship with</w:t>
            </w:r>
            <w:r w:rsidR="6470791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their Mentor and speak to them in the first instance regarding any issues that need the input of an adult. Your child will also be supported by a class tutor</w:t>
            </w:r>
            <w:r w:rsidR="7192C70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 xml:space="preserve">and teaching assistant. All teaching staff will meet regularly to discuss </w:t>
            </w:r>
            <w:proofErr w:type="spellStart"/>
            <w:proofErr w:type="gramStart"/>
            <w:r w:rsidRPr="671BBA62">
              <w:rPr>
                <w:rFonts w:ascii="Calibri" w:eastAsia="Calibri" w:hAnsi="Calibri" w:cs="Calibri"/>
                <w:color w:val="000000" w:themeColor="text1"/>
              </w:rPr>
              <w:t>students</w:t>
            </w:r>
            <w:proofErr w:type="spellEnd"/>
            <w:proofErr w:type="gramEnd"/>
            <w:r w:rsidRPr="671BBA62">
              <w:rPr>
                <w:rFonts w:ascii="Calibri" w:eastAsia="Calibri" w:hAnsi="Calibri" w:cs="Calibri"/>
                <w:color w:val="000000" w:themeColor="text1"/>
              </w:rPr>
              <w:t xml:space="preserve"> progress and to monitor any interventions. Compass is supported by a</w:t>
            </w:r>
            <w:r w:rsidR="63774C86"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Management Committee (Governing Body).</w:t>
            </w:r>
            <w:r w:rsidR="5D48E7C2"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Our curriculum reflects the needs of our students and supports their needs on an individual basis. Students study for GCSEs</w:t>
            </w:r>
            <w:r w:rsidR="75954AD6" w:rsidRPr="671BBA62">
              <w:rPr>
                <w:rFonts w:ascii="Calibri" w:eastAsia="Calibri" w:hAnsi="Calibri" w:cs="Calibri"/>
                <w:color w:val="000000" w:themeColor="text1"/>
              </w:rPr>
              <w:t xml:space="preserve"> and BTECs</w:t>
            </w:r>
            <w:r w:rsidRPr="671BBA62">
              <w:rPr>
                <w:rFonts w:ascii="Calibri" w:eastAsia="Calibri" w:hAnsi="Calibri" w:cs="Calibri"/>
                <w:color w:val="000000" w:themeColor="text1"/>
              </w:rPr>
              <w:t xml:space="preserve"> alongside more vocational</w:t>
            </w:r>
            <w:r w:rsidR="7EE1ED3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qualifications such as Level 1 construction. We also offer provision that develops self-confidence, social skills and supports well -being through</w:t>
            </w:r>
            <w:r w:rsidR="6F42585E" w:rsidRPr="671BBA62">
              <w:rPr>
                <w:rFonts w:ascii="Calibri" w:eastAsia="Calibri" w:hAnsi="Calibri" w:cs="Calibri"/>
                <w:color w:val="000000" w:themeColor="text1"/>
              </w:rPr>
              <w:t xml:space="preserve"> our</w:t>
            </w:r>
            <w:r w:rsidRPr="671BBA62">
              <w:rPr>
                <w:rFonts w:ascii="Calibri" w:eastAsia="Calibri" w:hAnsi="Calibri" w:cs="Calibri"/>
                <w:color w:val="000000" w:themeColor="text1"/>
              </w:rPr>
              <w:t xml:space="preserve"> </w:t>
            </w:r>
            <w:r w:rsidR="3DCCB36E" w:rsidRPr="671BBA62">
              <w:rPr>
                <w:rFonts w:ascii="Calibri" w:eastAsia="Calibri" w:hAnsi="Calibri" w:cs="Calibri"/>
                <w:color w:val="000000" w:themeColor="text1"/>
              </w:rPr>
              <w:t>Woodland School</w:t>
            </w:r>
            <w:r w:rsidRPr="671BBA62">
              <w:rPr>
                <w:rFonts w:ascii="Calibri" w:eastAsia="Calibri" w:hAnsi="Calibri" w:cs="Calibri"/>
                <w:color w:val="000000" w:themeColor="text1"/>
              </w:rPr>
              <w:t>,</w:t>
            </w:r>
            <w:r w:rsidR="6B340D92"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Weymouth &amp; Portland Sailing Academy and Dorset Trade Skills.</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6. How is the decision made about what type and how much support my child/young person will receive?</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On referral the student and their family will meet with their child’s Pastoral Mentor to discuss and plan their education at Compass. We adopt a collaborative</w:t>
            </w:r>
            <w:r w:rsidR="543BC469"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approach whereby the Pastoral Mentor, Tutor, class teachers, TAs, SEND &amp; Inclusion Lead, parents and student are involved in the decision making</w:t>
            </w:r>
            <w:r w:rsidR="20C42AB7"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process.</w:t>
            </w:r>
            <w:r w:rsidR="7BE63ED6"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This approach is maintained throughout a student’s time at The Compass. Students with SEND are expected to make the same rate of progress as those</w:t>
            </w:r>
            <w:r w:rsidR="39A12A39"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without. All students are supported by the team to meet their targets. Progress, Early Progress and Transfer reviews are all Person Centred and facilitated by</w:t>
            </w:r>
            <w:r w:rsidR="3A9B1EE6"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the SEND &amp; Inclusion Lead. This means that the student is central to all decisions made and will be consulted regularly throughout of the process</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7. How will my child/young person be included in activities outside the classroom including physical activities and school trips?</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At The Compass students may access a significant proportion of their timetable outside of the school setting. It is expected that every student in KS4 will</w:t>
            </w:r>
            <w:r w:rsidR="1C491BC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have access to some alternative provision if it is deemed to be in their best interests. All students are included in school trips dependent on their</w:t>
            </w:r>
            <w:r w:rsidR="3C0A9B55"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previous good behaviour and in line with a Risk Assessment of the activity. Parents are informed in advance of subject specific trips taking part out of the</w:t>
            </w:r>
            <w:r w:rsidR="6B350BAB"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school and a Risk Assessment must take place before the trip is sanctioned.</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8. What support will there be for my child/young person’s overall wellbeing?</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Pastoral Mentors are the first link in supporting a child’s wellbeing. These mentors will share any pastoral, medical or social concerns at daily meetings and</w:t>
            </w:r>
            <w:r w:rsidR="2B9BFCE0"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will act as an advocate for</w:t>
            </w:r>
            <w:r w:rsidR="7D79FF73" w:rsidRPr="671BBA62">
              <w:rPr>
                <w:rFonts w:ascii="Calibri" w:eastAsia="Calibri" w:hAnsi="Calibri" w:cs="Calibri"/>
                <w:color w:val="000000" w:themeColor="text1"/>
              </w:rPr>
              <w:t xml:space="preserve"> the</w:t>
            </w:r>
            <w:r w:rsidRPr="671BBA62">
              <w:rPr>
                <w:rFonts w:ascii="Calibri" w:eastAsia="Calibri" w:hAnsi="Calibri" w:cs="Calibri"/>
                <w:color w:val="000000" w:themeColor="text1"/>
              </w:rPr>
              <w:t xml:space="preserve"> students.</w:t>
            </w:r>
            <w:r w:rsidR="72CB1DFC"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Prescribed medicines are usually administered at home. However, at parents’ request, should a student need to take medicine at The Compass there is a</w:t>
            </w:r>
            <w:r w:rsidR="0A7597D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procedure in place for administering this (Administering Medicine in School Policy).</w:t>
            </w:r>
            <w:r w:rsidR="7D543BC5" w:rsidRPr="671BBA62">
              <w:rPr>
                <w:rFonts w:ascii="Calibri" w:eastAsia="Calibri" w:hAnsi="Calibri" w:cs="Calibri"/>
                <w:color w:val="000000" w:themeColor="text1"/>
              </w:rPr>
              <w:t xml:space="preserve"> </w:t>
            </w:r>
          </w:p>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There are always a high number of staff members on duty at every break and lunchtime across our site. Students are encouraged to speak to their mentors</w:t>
            </w:r>
            <w:r w:rsidR="0B4347B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or any member of staff if they have any pastoral or academic concerns.</w:t>
            </w:r>
            <w:r w:rsidR="4EB17F3C"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We follow ‘Safer Recruitment’ guidance and all staff, volunteers and workers on site are DBS vetted.</w:t>
            </w:r>
          </w:p>
          <w:p w:rsidR="17CECBE6" w:rsidRDefault="17CECBE6" w:rsidP="671BBA62">
            <w:pPr>
              <w:rPr>
                <w:rFonts w:ascii="Calibri" w:eastAsia="Calibri" w:hAnsi="Calibri" w:cs="Calibri"/>
                <w:color w:val="000000" w:themeColor="text1"/>
              </w:rPr>
            </w:pPr>
            <w:r w:rsidRPr="671BBA62">
              <w:rPr>
                <w:rFonts w:ascii="Calibri" w:eastAsia="Calibri" w:hAnsi="Calibri" w:cs="Calibri"/>
                <w:color w:val="000000" w:themeColor="text1"/>
              </w:rPr>
              <w:t xml:space="preserve"> </w:t>
            </w:r>
            <w:r w:rsidR="616D5A18" w:rsidRPr="671BBA62">
              <w:rPr>
                <w:rFonts w:ascii="Calibri" w:eastAsia="Calibri" w:hAnsi="Calibri" w:cs="Calibri"/>
                <w:color w:val="000000" w:themeColor="text1"/>
              </w:rPr>
              <w:t>Students are not permitted to leave the Compass site until school day has finished.</w:t>
            </w:r>
            <w:r w:rsidR="00CAC7DE" w:rsidRPr="671BBA62">
              <w:rPr>
                <w:rFonts w:ascii="Calibri" w:eastAsia="Calibri" w:hAnsi="Calibri" w:cs="Calibri"/>
                <w:color w:val="000000" w:themeColor="text1"/>
              </w:rPr>
              <w:t xml:space="preserve"> </w:t>
            </w:r>
            <w:r w:rsidR="616D5A18" w:rsidRPr="671BBA62">
              <w:rPr>
                <w:rFonts w:ascii="Calibri" w:eastAsia="Calibri" w:hAnsi="Calibri" w:cs="Calibri"/>
                <w:color w:val="000000" w:themeColor="text1"/>
              </w:rPr>
              <w:t>Parents are encouraged to provide a healthy lunch and snacks for students. Those students entitled to free school meals receive vouchers to enable</w:t>
            </w:r>
            <w:r w:rsidR="7747FF5E" w:rsidRPr="671BBA62">
              <w:rPr>
                <w:rFonts w:ascii="Calibri" w:eastAsia="Calibri" w:hAnsi="Calibri" w:cs="Calibri"/>
                <w:color w:val="000000" w:themeColor="text1"/>
              </w:rPr>
              <w:t xml:space="preserve"> </w:t>
            </w:r>
            <w:r w:rsidR="616D5A18" w:rsidRPr="671BBA62">
              <w:rPr>
                <w:rFonts w:ascii="Calibri" w:eastAsia="Calibri" w:hAnsi="Calibri" w:cs="Calibri"/>
                <w:color w:val="000000" w:themeColor="text1"/>
              </w:rPr>
              <w:t>parents/carers to supply their child’s healthy lunch. The Compass have a School Council and students are encouraged to become involved in this. This is a</w:t>
            </w:r>
            <w:r w:rsidR="5EDBC0FE" w:rsidRPr="671BBA62">
              <w:rPr>
                <w:rFonts w:ascii="Calibri" w:eastAsia="Calibri" w:hAnsi="Calibri" w:cs="Calibri"/>
                <w:color w:val="000000" w:themeColor="text1"/>
              </w:rPr>
              <w:t xml:space="preserve"> </w:t>
            </w:r>
            <w:r w:rsidR="616D5A18" w:rsidRPr="671BBA62">
              <w:rPr>
                <w:rFonts w:ascii="Calibri" w:eastAsia="Calibri" w:hAnsi="Calibri" w:cs="Calibri"/>
                <w:color w:val="000000" w:themeColor="text1"/>
              </w:rPr>
              <w:t>forum for students to make their opinions heard and to be involved in</w:t>
            </w:r>
            <w:r w:rsidR="7885E7E0" w:rsidRPr="671BBA62">
              <w:rPr>
                <w:rFonts w:ascii="Calibri" w:eastAsia="Calibri" w:hAnsi="Calibri" w:cs="Calibri"/>
                <w:color w:val="000000" w:themeColor="text1"/>
              </w:rPr>
              <w:t xml:space="preserve"> whole </w:t>
            </w:r>
            <w:r w:rsidR="616D5A18" w:rsidRPr="671BBA62">
              <w:rPr>
                <w:rFonts w:ascii="Calibri" w:eastAsia="Calibri" w:hAnsi="Calibri" w:cs="Calibri"/>
                <w:color w:val="000000" w:themeColor="text1"/>
              </w:rPr>
              <w:t>decision making processes.</w:t>
            </w:r>
            <w:r w:rsidR="1367762A" w:rsidRPr="671BBA62">
              <w:rPr>
                <w:rFonts w:ascii="Calibri" w:eastAsia="Calibri" w:hAnsi="Calibri" w:cs="Calibri"/>
                <w:color w:val="000000" w:themeColor="text1"/>
              </w:rPr>
              <w:t xml:space="preserve"> </w:t>
            </w:r>
          </w:p>
          <w:p w:rsidR="671BBA62" w:rsidRDefault="671BBA62" w:rsidP="671BBA62">
            <w:pPr>
              <w:rPr>
                <w:rFonts w:ascii="Calibri" w:eastAsia="Calibri" w:hAnsi="Calibri" w:cs="Calibri"/>
                <w:color w:val="000000" w:themeColor="text1"/>
              </w:rPr>
            </w:pP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9. What specialist services and expertise are available at or accessed by the school?</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At Compass we have developed strong, professional relationships with the team of agencies we work with.</w:t>
            </w:r>
            <w:r w:rsidR="4CB76C7B"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Currently we liaise regularly with: Children’s Services (Social Care and Health), Dorset locality teams, CAMHS, SEN Team at County, Speech and Language</w:t>
            </w:r>
            <w:r w:rsidR="1DDC210E"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Therapists, Specialist Teachers, Educational Psychologists.</w:t>
            </w:r>
            <w:r w:rsidR="35AC6115" w:rsidRPr="671BBA62">
              <w:rPr>
                <w:rFonts w:ascii="Calibri" w:eastAsia="Calibri" w:hAnsi="Calibri" w:cs="Calibri"/>
                <w:color w:val="000000" w:themeColor="text1"/>
              </w:rPr>
              <w:t xml:space="preserve"> </w:t>
            </w:r>
          </w:p>
          <w:p w:rsidR="616D5A18" w:rsidRDefault="616D5A18" w:rsidP="671BBA62">
            <w:pPr>
              <w:spacing w:before="240"/>
              <w:rPr>
                <w:rFonts w:ascii="Calibri" w:eastAsia="Calibri" w:hAnsi="Calibri" w:cs="Calibri"/>
                <w:color w:val="000000" w:themeColor="text1"/>
              </w:rPr>
            </w:pPr>
            <w:r w:rsidRPr="671BBA62">
              <w:rPr>
                <w:rFonts w:ascii="Calibri" w:eastAsia="Calibri" w:hAnsi="Calibri" w:cs="Calibri"/>
                <w:color w:val="000000" w:themeColor="text1"/>
              </w:rPr>
              <w:t>All students are base lined on referral and through regular assessments within the centre.</w:t>
            </w:r>
            <w:r w:rsidR="35DBF127"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The SEND &amp; Inclusion Lead (Becky Hubbard) has the National Award for SEN Co-ordination</w:t>
            </w:r>
            <w:r w:rsidR="36A9E734" w:rsidRPr="671BBA62">
              <w:rPr>
                <w:rFonts w:ascii="Calibri" w:eastAsia="Calibri" w:hAnsi="Calibri" w:cs="Calibri"/>
                <w:color w:val="000000" w:themeColor="text1"/>
              </w:rPr>
              <w:t>.</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10. What training have the staff supporting student/young people with SEND had?</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All staff receive regular training in understanding the needs of students with ASD, Attachment Disorder and Behaviour, Social, Emotional and Mental</w:t>
            </w:r>
            <w:r w:rsidR="0BDC3E6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Health. Additionally</w:t>
            </w:r>
            <w:r w:rsidR="08CFAD2D" w:rsidRPr="671BBA62">
              <w:rPr>
                <w:rFonts w:ascii="Calibri" w:eastAsia="Calibri" w:hAnsi="Calibri" w:cs="Calibri"/>
                <w:color w:val="000000" w:themeColor="text1"/>
              </w:rPr>
              <w:t>,</w:t>
            </w:r>
            <w:r w:rsidRPr="671BBA62">
              <w:rPr>
                <w:rFonts w:ascii="Calibri" w:eastAsia="Calibri" w:hAnsi="Calibri" w:cs="Calibri"/>
                <w:color w:val="000000" w:themeColor="text1"/>
              </w:rPr>
              <w:t xml:space="preserve"> all staff are trained in Team Teach techniques, </w:t>
            </w:r>
            <w:r w:rsidR="0CE05852" w:rsidRPr="671BBA62">
              <w:rPr>
                <w:rFonts w:ascii="Calibri" w:eastAsia="Calibri" w:hAnsi="Calibri" w:cs="Calibri"/>
                <w:color w:val="000000" w:themeColor="text1"/>
              </w:rPr>
              <w:t xml:space="preserve">Therapeutic Thinking, relational practise </w:t>
            </w:r>
            <w:r w:rsidRPr="671BBA62">
              <w:rPr>
                <w:rFonts w:ascii="Calibri" w:eastAsia="Calibri" w:hAnsi="Calibri" w:cs="Calibri"/>
                <w:color w:val="000000" w:themeColor="text1"/>
              </w:rPr>
              <w:t>and emotion coaching. Key named staff also have further professional qualifications</w:t>
            </w:r>
            <w:r w:rsidR="5C1BE19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such Emotional Literacy Support and Level 5 dyslexia. All staff undertake annual Safeguarding training. All staff receive regular e-safety training. Many</w:t>
            </w:r>
            <w:r w:rsidR="16EC1F38"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staff have First Aid training</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11. How accessible is the school environment?</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The Compass is accessible for wheelchair users. We will work closely with parents and other agencies to provide facilities to support any child with SEND</w:t>
            </w:r>
            <w:r w:rsidR="76397FC1"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and will train staff in order to fully understand any SEND we are not currently resourced for</w:t>
            </w:r>
            <w:r w:rsidR="23530EDE" w:rsidRPr="671BBA62">
              <w:rPr>
                <w:rFonts w:ascii="Calibri" w:eastAsia="Calibri" w:hAnsi="Calibri" w:cs="Calibri"/>
                <w:color w:val="000000" w:themeColor="text1"/>
              </w:rPr>
              <w:t>.</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12. How are parents and young people themselves involved in the school?</w:t>
            </w:r>
          </w:p>
        </w:tc>
      </w:tr>
      <w:tr w:rsidR="671BBA62" w:rsidTr="671BBA62">
        <w:trPr>
          <w:trHeight w:val="300"/>
        </w:trPr>
        <w:tc>
          <w:tcPr>
            <w:tcW w:w="15390" w:type="dxa"/>
          </w:tcPr>
          <w:p w:rsidR="616D5A18" w:rsidRDefault="616D5A18" w:rsidP="671BBA62">
            <w:pPr>
              <w:rPr>
                <w:rFonts w:ascii="Calibri" w:eastAsia="Calibri" w:hAnsi="Calibri" w:cs="Calibri"/>
                <w:color w:val="000000" w:themeColor="text1"/>
              </w:rPr>
            </w:pPr>
            <w:r w:rsidRPr="671BBA62">
              <w:rPr>
                <w:rFonts w:ascii="Calibri" w:eastAsia="Calibri" w:hAnsi="Calibri" w:cs="Calibri"/>
                <w:color w:val="000000" w:themeColor="text1"/>
              </w:rPr>
              <w:t>We warmly welcome involvement from our parents. All our processes and meetings follow a Person Centred approach.</w:t>
            </w:r>
            <w:r w:rsidR="1D744E3F" w:rsidRPr="671BBA62">
              <w:rPr>
                <w:rFonts w:ascii="Calibri" w:eastAsia="Calibri" w:hAnsi="Calibri" w:cs="Calibri"/>
                <w:color w:val="000000" w:themeColor="text1"/>
              </w:rPr>
              <w:t xml:space="preserve"> </w:t>
            </w:r>
          </w:p>
          <w:p w:rsidR="616D5A18" w:rsidRDefault="616D5A18" w:rsidP="671BBA62">
            <w:pPr>
              <w:rPr>
                <w:rFonts w:ascii="Calibri" w:eastAsia="Calibri" w:hAnsi="Calibri" w:cs="Calibri"/>
                <w:color w:val="000000" w:themeColor="text1"/>
              </w:rPr>
            </w:pPr>
            <w:r w:rsidRPr="671BBA62">
              <w:rPr>
                <w:rFonts w:ascii="Calibri" w:eastAsia="Calibri" w:hAnsi="Calibri" w:cs="Calibri"/>
                <w:color w:val="000000" w:themeColor="text1"/>
              </w:rPr>
              <w:t>Currently you can be involved in:</w:t>
            </w:r>
          </w:p>
          <w:p w:rsidR="3D7282CA" w:rsidRDefault="3D7282CA" w:rsidP="671BBA62">
            <w:pPr>
              <w:rPr>
                <w:rFonts w:ascii="Calibri" w:eastAsia="Calibri" w:hAnsi="Calibri" w:cs="Calibri"/>
                <w:color w:val="000000" w:themeColor="text1"/>
              </w:rPr>
            </w:pPr>
            <w:r w:rsidRPr="671BBA62">
              <w:rPr>
                <w:rFonts w:ascii="Calibri" w:eastAsia="Calibri" w:hAnsi="Calibri" w:cs="Calibri"/>
                <w:color w:val="000000" w:themeColor="text1"/>
              </w:rPr>
              <w:t xml:space="preserve"> </w:t>
            </w:r>
            <w:r w:rsidR="616D5A18" w:rsidRPr="671BBA62">
              <w:rPr>
                <w:rFonts w:ascii="Calibri" w:eastAsia="Calibri" w:hAnsi="Calibri" w:cs="Calibri"/>
                <w:color w:val="000000" w:themeColor="text1"/>
              </w:rPr>
              <w:t xml:space="preserve">· Attending Early Progress / Progress / Transfer </w:t>
            </w:r>
            <w:proofErr w:type="gramStart"/>
            <w:r w:rsidR="616D5A18" w:rsidRPr="671BBA62">
              <w:rPr>
                <w:rFonts w:ascii="Calibri" w:eastAsia="Calibri" w:hAnsi="Calibri" w:cs="Calibri"/>
                <w:color w:val="000000" w:themeColor="text1"/>
              </w:rPr>
              <w:t>reviews .</w:t>
            </w:r>
            <w:proofErr w:type="gramEnd"/>
            <w:r w:rsidR="0CDBC242" w:rsidRPr="671BBA62">
              <w:rPr>
                <w:rFonts w:ascii="Calibri" w:eastAsia="Calibri" w:hAnsi="Calibri" w:cs="Calibri"/>
                <w:color w:val="000000" w:themeColor="text1"/>
              </w:rPr>
              <w:t xml:space="preserve"> </w:t>
            </w:r>
          </w:p>
          <w:p w:rsidR="616D5A18" w:rsidRDefault="616D5A18" w:rsidP="671BBA62">
            <w:pPr>
              <w:rPr>
                <w:rFonts w:ascii="Calibri" w:eastAsia="Calibri" w:hAnsi="Calibri" w:cs="Calibri"/>
                <w:color w:val="000000" w:themeColor="text1"/>
              </w:rPr>
            </w:pPr>
            <w:r w:rsidRPr="671BBA62">
              <w:rPr>
                <w:rFonts w:ascii="Calibri" w:eastAsia="Calibri" w:hAnsi="Calibri" w:cs="Calibri"/>
                <w:color w:val="000000" w:themeColor="text1"/>
              </w:rPr>
              <w:t>· Any other meetings that involve decision making about your child’s education.</w:t>
            </w:r>
          </w:p>
          <w:p w:rsidR="616D5A18" w:rsidRDefault="616D5A18" w:rsidP="671BBA62">
            <w:pPr>
              <w:rPr>
                <w:rFonts w:ascii="Calibri" w:eastAsia="Calibri" w:hAnsi="Calibri" w:cs="Calibri"/>
                <w:color w:val="000000" w:themeColor="text1"/>
              </w:rPr>
            </w:pPr>
            <w:r w:rsidRPr="671BBA62">
              <w:rPr>
                <w:rFonts w:ascii="Calibri" w:eastAsia="Calibri" w:hAnsi="Calibri" w:cs="Calibri"/>
                <w:color w:val="000000" w:themeColor="text1"/>
              </w:rPr>
              <w:t>Parents’ Evenings.</w:t>
            </w:r>
          </w:p>
          <w:p w:rsidR="616D5A18" w:rsidRDefault="616D5A18" w:rsidP="671BBA62">
            <w:pPr>
              <w:rPr>
                <w:rFonts w:ascii="Calibri" w:eastAsia="Calibri" w:hAnsi="Calibri" w:cs="Calibri"/>
                <w:color w:val="000000" w:themeColor="text1"/>
              </w:rPr>
            </w:pPr>
            <w:r w:rsidRPr="671BBA62">
              <w:rPr>
                <w:rFonts w:ascii="Calibri" w:eastAsia="Calibri" w:hAnsi="Calibri" w:cs="Calibri"/>
                <w:color w:val="000000" w:themeColor="text1"/>
              </w:rPr>
              <w:t>· Fundraising.</w:t>
            </w:r>
          </w:p>
          <w:p w:rsidR="616D5A18" w:rsidRDefault="616D5A18" w:rsidP="671BBA62">
            <w:pPr>
              <w:rPr>
                <w:rFonts w:ascii="Calibri" w:eastAsia="Calibri" w:hAnsi="Calibri" w:cs="Calibri"/>
                <w:color w:val="000000" w:themeColor="text1"/>
              </w:rPr>
            </w:pPr>
            <w:r w:rsidRPr="671BBA62">
              <w:rPr>
                <w:rFonts w:ascii="Calibri" w:eastAsia="Calibri" w:hAnsi="Calibri" w:cs="Calibri"/>
                <w:color w:val="000000" w:themeColor="text1"/>
              </w:rPr>
              <w:t>· Helping your child complete homework/ online learning</w:t>
            </w:r>
          </w:p>
          <w:p w:rsidR="616D5A18" w:rsidRDefault="616D5A18" w:rsidP="671BBA62">
            <w:pPr>
              <w:rPr>
                <w:rFonts w:ascii="Calibri" w:eastAsia="Calibri" w:hAnsi="Calibri" w:cs="Calibri"/>
                <w:color w:val="000000" w:themeColor="text1"/>
              </w:rPr>
            </w:pPr>
            <w:r w:rsidRPr="671BBA62">
              <w:rPr>
                <w:rFonts w:ascii="Calibri" w:eastAsia="Calibri" w:hAnsi="Calibri" w:cs="Calibri"/>
                <w:color w:val="000000" w:themeColor="text1"/>
              </w:rPr>
              <w:t xml:space="preserve">Our doors are always open and we encourage parents to communicate with us, as often as necessary, by phone, email, </w:t>
            </w:r>
            <w:proofErr w:type="gramStart"/>
            <w:r w:rsidRPr="671BBA62">
              <w:rPr>
                <w:rFonts w:ascii="Calibri" w:eastAsia="Calibri" w:hAnsi="Calibri" w:cs="Calibri"/>
                <w:color w:val="000000" w:themeColor="text1"/>
              </w:rPr>
              <w:t>text</w:t>
            </w:r>
            <w:proofErr w:type="gramEnd"/>
            <w:r w:rsidRPr="671BBA62">
              <w:rPr>
                <w:rFonts w:ascii="Calibri" w:eastAsia="Calibri" w:hAnsi="Calibri" w:cs="Calibri"/>
                <w:color w:val="000000" w:themeColor="text1"/>
              </w:rPr>
              <w:t xml:space="preserve"> or face-to-face. We use a</w:t>
            </w:r>
          </w:p>
          <w:p w:rsidR="616D5A18" w:rsidRDefault="616D5A18" w:rsidP="671BBA62">
            <w:pPr>
              <w:rPr>
                <w:rFonts w:ascii="Calibri" w:eastAsia="Calibri" w:hAnsi="Calibri" w:cs="Calibri"/>
                <w:color w:val="000000" w:themeColor="text1"/>
              </w:rPr>
            </w:pPr>
            <w:proofErr w:type="gramStart"/>
            <w:r w:rsidRPr="671BBA62">
              <w:rPr>
                <w:rFonts w:ascii="Calibri" w:eastAsia="Calibri" w:hAnsi="Calibri" w:cs="Calibri"/>
                <w:color w:val="000000" w:themeColor="text1"/>
              </w:rPr>
              <w:t>successful</w:t>
            </w:r>
            <w:proofErr w:type="gramEnd"/>
            <w:r w:rsidRPr="671BBA62">
              <w:rPr>
                <w:rFonts w:ascii="Calibri" w:eastAsia="Calibri" w:hAnsi="Calibri" w:cs="Calibri"/>
                <w:color w:val="000000" w:themeColor="text1"/>
              </w:rPr>
              <w:t xml:space="preserve"> text-to-parents service to communicate with our parents.</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13. How do you involve other agencies in meeting the needs of student/young people with SEND and in supporting families?</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Where we feel additional support may be required for your child we will initially contact you and discuss concerns. If we all agree to further support</w:t>
            </w:r>
            <w:r w:rsidR="47F8FD53"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the appropriate referral will be made to an external agency such as CAMHS, Specialist Teachers or the Safer School Team. The outcomes from this</w:t>
            </w:r>
            <w:r w:rsidR="0CA74CB3"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referral will be shared at review meetings/ Early Progress reviews/ Progress reviews or transition reviews.</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14. Who can I contact for further information?</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 xml:space="preserve">You can discuss your child’s provision with their Pastoral Mentor, </w:t>
            </w:r>
            <w:r w:rsidR="1161DB33" w:rsidRPr="671BBA62">
              <w:rPr>
                <w:rFonts w:ascii="Calibri" w:eastAsia="Calibri" w:hAnsi="Calibri" w:cs="Calibri"/>
                <w:color w:val="000000" w:themeColor="text1"/>
              </w:rPr>
              <w:t xml:space="preserve">subject teacher </w:t>
            </w:r>
            <w:r w:rsidRPr="671BBA62">
              <w:rPr>
                <w:rFonts w:ascii="Calibri" w:eastAsia="Calibri" w:hAnsi="Calibri" w:cs="Calibri"/>
                <w:color w:val="000000" w:themeColor="text1"/>
              </w:rPr>
              <w:t>or the SEND &amp; Inclusion Lead; Becky Hubbard or a member of the SEN Team at</w:t>
            </w:r>
            <w:r w:rsidR="17B26BEA" w:rsidRPr="671BBA62">
              <w:rPr>
                <w:rFonts w:ascii="Calibri" w:eastAsia="Calibri" w:hAnsi="Calibri" w:cs="Calibri"/>
                <w:color w:val="000000" w:themeColor="text1"/>
              </w:rPr>
              <w:t xml:space="preserve"> </w:t>
            </w:r>
            <w:proofErr w:type="spellStart"/>
            <w:r w:rsidRPr="671BBA62">
              <w:rPr>
                <w:rFonts w:ascii="Calibri" w:eastAsia="Calibri" w:hAnsi="Calibri" w:cs="Calibri"/>
                <w:color w:val="000000" w:themeColor="text1"/>
              </w:rPr>
              <w:t>anytime</w:t>
            </w:r>
            <w:proofErr w:type="spellEnd"/>
            <w:r w:rsidRPr="671BBA62">
              <w:rPr>
                <w:rFonts w:ascii="Calibri" w:eastAsia="Calibri" w:hAnsi="Calibri" w:cs="Calibri"/>
                <w:color w:val="000000" w:themeColor="text1"/>
              </w:rPr>
              <w:t xml:space="preserve"> through the main phone number 01305 206530 or the mentor direct mobile number.</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15. How will the school prepare and support my child/young person to join the school, transfer to a new school or the next stage of education and life?</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We</w:t>
            </w:r>
            <w:r w:rsidR="003E33D8">
              <w:rPr>
                <w:rFonts w:ascii="Calibri" w:eastAsia="Calibri" w:hAnsi="Calibri" w:cs="Calibri"/>
                <w:color w:val="000000" w:themeColor="text1"/>
              </w:rPr>
              <w:t xml:space="preserve"> have strong links with Coastland</w:t>
            </w:r>
            <w:r w:rsidRPr="671BBA62">
              <w:rPr>
                <w:rFonts w:ascii="Calibri" w:eastAsia="Calibri" w:hAnsi="Calibri" w:cs="Calibri"/>
                <w:color w:val="000000" w:themeColor="text1"/>
              </w:rPr>
              <w:t xml:space="preserve"> College. – </w:t>
            </w:r>
            <w:proofErr w:type="gramStart"/>
            <w:r w:rsidRPr="671BBA62">
              <w:rPr>
                <w:rFonts w:ascii="Calibri" w:eastAsia="Calibri" w:hAnsi="Calibri" w:cs="Calibri"/>
                <w:color w:val="000000" w:themeColor="text1"/>
              </w:rPr>
              <w:t>th</w:t>
            </w:r>
            <w:r w:rsidR="16293C21" w:rsidRPr="671BBA62">
              <w:rPr>
                <w:rFonts w:ascii="Calibri" w:eastAsia="Calibri" w:hAnsi="Calibri" w:cs="Calibri"/>
                <w:color w:val="000000" w:themeColor="text1"/>
              </w:rPr>
              <w:t>is</w:t>
            </w:r>
            <w:proofErr w:type="gramEnd"/>
            <w:r w:rsidR="16293C21" w:rsidRPr="671BBA62">
              <w:rPr>
                <w:rFonts w:ascii="Calibri" w:eastAsia="Calibri" w:hAnsi="Calibri" w:cs="Calibri"/>
                <w:color w:val="000000" w:themeColor="text1"/>
              </w:rPr>
              <w:t xml:space="preserve"> is </w:t>
            </w:r>
            <w:r w:rsidRPr="671BBA62">
              <w:rPr>
                <w:rFonts w:ascii="Calibri" w:eastAsia="Calibri" w:hAnsi="Calibri" w:cs="Calibri"/>
                <w:color w:val="000000" w:themeColor="text1"/>
              </w:rPr>
              <w:t>where most of our stu</w:t>
            </w:r>
            <w:r w:rsidR="003E33D8">
              <w:rPr>
                <w:rFonts w:ascii="Calibri" w:eastAsia="Calibri" w:hAnsi="Calibri" w:cs="Calibri"/>
                <w:color w:val="000000" w:themeColor="text1"/>
              </w:rPr>
              <w:t>dents go to in year 12. Coastland</w:t>
            </w:r>
            <w:bookmarkStart w:id="0" w:name="_GoBack"/>
            <w:bookmarkEnd w:id="0"/>
            <w:r w:rsidRPr="671BBA62">
              <w:rPr>
                <w:rFonts w:ascii="Calibri" w:eastAsia="Calibri" w:hAnsi="Calibri" w:cs="Calibri"/>
                <w:color w:val="000000" w:themeColor="text1"/>
              </w:rPr>
              <w:t xml:space="preserve"> College meets with</w:t>
            </w:r>
            <w:r w:rsidR="53EC3EFC"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Compass SEND &amp; Inclusion Lead in the summer term to discuss the needs of any students offered places there for the following academic year.</w:t>
            </w:r>
            <w:r w:rsidR="1C260CDD"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If your child</w:t>
            </w:r>
            <w:r w:rsidR="1331100F"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has an EHCP then their Transfer Reviews will include discussions about any necessary support needed for the following academic year.</w:t>
            </w:r>
          </w:p>
        </w:tc>
      </w:tr>
    </w:tbl>
    <w:p w:rsidR="671BBA62" w:rsidRDefault="671BBA62" w:rsidP="671BBA62"/>
    <w:tbl>
      <w:tblPr>
        <w:tblStyle w:val="TableGrid"/>
        <w:tblW w:w="0" w:type="auto"/>
        <w:tblLayout w:type="fixed"/>
        <w:tblLook w:val="06A0" w:firstRow="1" w:lastRow="0" w:firstColumn="1" w:lastColumn="0" w:noHBand="1" w:noVBand="1"/>
      </w:tblPr>
      <w:tblGrid>
        <w:gridCol w:w="15390"/>
      </w:tblGrid>
      <w:tr w:rsidR="671BBA62" w:rsidTr="671BBA62">
        <w:trPr>
          <w:trHeight w:val="300"/>
        </w:trPr>
        <w:tc>
          <w:tcPr>
            <w:tcW w:w="15390" w:type="dxa"/>
            <w:shd w:val="clear" w:color="auto" w:fill="F2CEED" w:themeFill="accent5" w:themeFillTint="33"/>
          </w:tcPr>
          <w:p w:rsidR="616D5A18" w:rsidRDefault="616D5A18" w:rsidP="671BBA62">
            <w:pPr>
              <w:rPr>
                <w:rFonts w:ascii="Calibri" w:eastAsia="Calibri" w:hAnsi="Calibri" w:cs="Calibri"/>
              </w:rPr>
            </w:pPr>
            <w:r w:rsidRPr="671BBA62">
              <w:rPr>
                <w:rFonts w:ascii="Calibri" w:eastAsia="Calibri" w:hAnsi="Calibri" w:cs="Calibri"/>
                <w:color w:val="000000" w:themeColor="text1"/>
              </w:rPr>
              <w:t>16. What other support is available?</w:t>
            </w:r>
          </w:p>
        </w:tc>
      </w:tr>
      <w:tr w:rsidR="671BBA62" w:rsidTr="671BBA62">
        <w:trPr>
          <w:trHeight w:val="300"/>
        </w:trPr>
        <w:tc>
          <w:tcPr>
            <w:tcW w:w="15390" w:type="dxa"/>
          </w:tcPr>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Dorset Council’s Local Offer, outlining services available for students and young people who have SEND, can be found at:</w:t>
            </w:r>
          </w:p>
          <w:p w:rsidR="616D5A18" w:rsidRDefault="003E33D8" w:rsidP="671BBA62">
            <w:pPr>
              <w:spacing w:before="240" w:after="240"/>
              <w:rPr>
                <w:rFonts w:ascii="Calibri" w:eastAsia="Calibri" w:hAnsi="Calibri" w:cs="Calibri"/>
              </w:rPr>
            </w:pPr>
            <w:hyperlink r:id="rId5">
              <w:r w:rsidR="616D5A18" w:rsidRPr="671BBA62">
                <w:rPr>
                  <w:rStyle w:val="Hyperlink"/>
                  <w:rFonts w:ascii="Calibri" w:eastAsia="Calibri" w:hAnsi="Calibri" w:cs="Calibri"/>
                </w:rPr>
                <w:t>https://www.dorsetcouncil.gov.uk/children-families/sen-and-disability-local-offer/dorsets-local-offer.aspx</w:t>
              </w:r>
            </w:hyperlink>
          </w:p>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In addition Special Educational Needs and Disabilities Information Advice and Support Service (SENDIASS) provide free impartial, confidential and</w:t>
            </w:r>
            <w:r w:rsidR="1A0EFE8A" w:rsidRPr="671BBA62">
              <w:rPr>
                <w:rFonts w:ascii="Calibri" w:eastAsia="Calibri" w:hAnsi="Calibri" w:cs="Calibri"/>
                <w:color w:val="000000" w:themeColor="text1"/>
              </w:rPr>
              <w:t xml:space="preserve"> </w:t>
            </w:r>
            <w:r w:rsidRPr="671BBA62">
              <w:rPr>
                <w:rFonts w:ascii="Calibri" w:eastAsia="Calibri" w:hAnsi="Calibri" w:cs="Calibri"/>
                <w:color w:val="000000" w:themeColor="text1"/>
              </w:rPr>
              <w:t>accurate information, advice and support for children, young people and their parents on matters relating to special educational needs and disabilities.</w:t>
            </w:r>
          </w:p>
          <w:p w:rsidR="616D5A18" w:rsidRDefault="616D5A18" w:rsidP="671BBA62">
            <w:pPr>
              <w:spacing w:before="240" w:after="240"/>
              <w:rPr>
                <w:rFonts w:ascii="Calibri" w:eastAsia="Calibri" w:hAnsi="Calibri" w:cs="Calibri"/>
                <w:color w:val="000000" w:themeColor="text1"/>
              </w:rPr>
            </w:pPr>
            <w:r w:rsidRPr="671BBA62">
              <w:rPr>
                <w:rFonts w:ascii="Calibri" w:eastAsia="Calibri" w:hAnsi="Calibri" w:cs="Calibri"/>
                <w:color w:val="000000" w:themeColor="text1"/>
              </w:rPr>
              <w:t>For all Dorset localities follow the link below:</w:t>
            </w:r>
          </w:p>
          <w:p w:rsidR="616D5A18" w:rsidRDefault="003E33D8" w:rsidP="671BBA62">
            <w:pPr>
              <w:spacing w:before="240"/>
              <w:rPr>
                <w:rFonts w:ascii="Calibri" w:eastAsia="Calibri" w:hAnsi="Calibri" w:cs="Calibri"/>
              </w:rPr>
            </w:pPr>
            <w:hyperlink r:id="rId6">
              <w:r w:rsidR="616D5A18" w:rsidRPr="671BBA62">
                <w:rPr>
                  <w:rStyle w:val="Hyperlink"/>
                  <w:rFonts w:ascii="Calibri" w:eastAsia="Calibri" w:hAnsi="Calibri" w:cs="Calibri"/>
                </w:rPr>
                <w:t>https://www.dorsetsendiass.co.uk/contact/</w:t>
              </w:r>
            </w:hyperlink>
          </w:p>
        </w:tc>
      </w:tr>
    </w:tbl>
    <w:p w:rsidR="671BBA62" w:rsidRDefault="671BBA62" w:rsidP="671BBA62"/>
    <w:sectPr w:rsidR="671BBA62">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BBCC"/>
    <w:multiLevelType w:val="hybridMultilevel"/>
    <w:tmpl w:val="B5761BE8"/>
    <w:lvl w:ilvl="0" w:tplc="E54E7FB8">
      <w:start w:val="1"/>
      <w:numFmt w:val="bullet"/>
      <w:lvlText w:val=""/>
      <w:lvlJc w:val="left"/>
      <w:pPr>
        <w:ind w:left="720" w:hanging="360"/>
      </w:pPr>
      <w:rPr>
        <w:rFonts w:ascii="Symbol" w:hAnsi="Symbol" w:hint="default"/>
      </w:rPr>
    </w:lvl>
    <w:lvl w:ilvl="1" w:tplc="46D4A15C">
      <w:start w:val="1"/>
      <w:numFmt w:val="bullet"/>
      <w:lvlText w:val="o"/>
      <w:lvlJc w:val="left"/>
      <w:pPr>
        <w:ind w:left="1440" w:hanging="360"/>
      </w:pPr>
      <w:rPr>
        <w:rFonts w:ascii="Courier New" w:hAnsi="Courier New" w:hint="default"/>
      </w:rPr>
    </w:lvl>
    <w:lvl w:ilvl="2" w:tplc="D0748130">
      <w:start w:val="1"/>
      <w:numFmt w:val="bullet"/>
      <w:lvlText w:val=""/>
      <w:lvlJc w:val="left"/>
      <w:pPr>
        <w:ind w:left="2160" w:hanging="360"/>
      </w:pPr>
      <w:rPr>
        <w:rFonts w:ascii="Wingdings" w:hAnsi="Wingdings" w:hint="default"/>
      </w:rPr>
    </w:lvl>
    <w:lvl w:ilvl="3" w:tplc="A3FCAE00">
      <w:start w:val="1"/>
      <w:numFmt w:val="bullet"/>
      <w:lvlText w:val=""/>
      <w:lvlJc w:val="left"/>
      <w:pPr>
        <w:ind w:left="2880" w:hanging="360"/>
      </w:pPr>
      <w:rPr>
        <w:rFonts w:ascii="Symbol" w:hAnsi="Symbol" w:hint="default"/>
      </w:rPr>
    </w:lvl>
    <w:lvl w:ilvl="4" w:tplc="BD46D4BC">
      <w:start w:val="1"/>
      <w:numFmt w:val="bullet"/>
      <w:lvlText w:val="o"/>
      <w:lvlJc w:val="left"/>
      <w:pPr>
        <w:ind w:left="3600" w:hanging="360"/>
      </w:pPr>
      <w:rPr>
        <w:rFonts w:ascii="Courier New" w:hAnsi="Courier New" w:hint="default"/>
      </w:rPr>
    </w:lvl>
    <w:lvl w:ilvl="5" w:tplc="CB7607BC">
      <w:start w:val="1"/>
      <w:numFmt w:val="bullet"/>
      <w:lvlText w:val=""/>
      <w:lvlJc w:val="left"/>
      <w:pPr>
        <w:ind w:left="4320" w:hanging="360"/>
      </w:pPr>
      <w:rPr>
        <w:rFonts w:ascii="Wingdings" w:hAnsi="Wingdings" w:hint="default"/>
      </w:rPr>
    </w:lvl>
    <w:lvl w:ilvl="6" w:tplc="F860133A">
      <w:start w:val="1"/>
      <w:numFmt w:val="bullet"/>
      <w:lvlText w:val=""/>
      <w:lvlJc w:val="left"/>
      <w:pPr>
        <w:ind w:left="5040" w:hanging="360"/>
      </w:pPr>
      <w:rPr>
        <w:rFonts w:ascii="Symbol" w:hAnsi="Symbol" w:hint="default"/>
      </w:rPr>
    </w:lvl>
    <w:lvl w:ilvl="7" w:tplc="EB42E99C">
      <w:start w:val="1"/>
      <w:numFmt w:val="bullet"/>
      <w:lvlText w:val="o"/>
      <w:lvlJc w:val="left"/>
      <w:pPr>
        <w:ind w:left="5760" w:hanging="360"/>
      </w:pPr>
      <w:rPr>
        <w:rFonts w:ascii="Courier New" w:hAnsi="Courier New" w:hint="default"/>
      </w:rPr>
    </w:lvl>
    <w:lvl w:ilvl="8" w:tplc="BE3EFED2">
      <w:start w:val="1"/>
      <w:numFmt w:val="bullet"/>
      <w:lvlText w:val=""/>
      <w:lvlJc w:val="left"/>
      <w:pPr>
        <w:ind w:left="6480" w:hanging="360"/>
      </w:pPr>
      <w:rPr>
        <w:rFonts w:ascii="Wingdings" w:hAnsi="Wingdings" w:hint="default"/>
      </w:rPr>
    </w:lvl>
  </w:abstractNum>
  <w:abstractNum w:abstractNumId="1" w15:restartNumberingAfterBreak="0">
    <w:nsid w:val="16C751BA"/>
    <w:multiLevelType w:val="hybridMultilevel"/>
    <w:tmpl w:val="7D849454"/>
    <w:lvl w:ilvl="0" w:tplc="E12C0A44">
      <w:start w:val="1"/>
      <w:numFmt w:val="bullet"/>
      <w:lvlText w:val=""/>
      <w:lvlJc w:val="left"/>
      <w:pPr>
        <w:ind w:left="780" w:hanging="360"/>
      </w:pPr>
      <w:rPr>
        <w:rFonts w:ascii="Symbol" w:hAnsi="Symbol" w:hint="default"/>
      </w:rPr>
    </w:lvl>
    <w:lvl w:ilvl="1" w:tplc="39D638DC">
      <w:start w:val="1"/>
      <w:numFmt w:val="bullet"/>
      <w:lvlText w:val="o"/>
      <w:lvlJc w:val="left"/>
      <w:pPr>
        <w:ind w:left="1440" w:hanging="360"/>
      </w:pPr>
      <w:rPr>
        <w:rFonts w:ascii="Courier New" w:hAnsi="Courier New" w:hint="default"/>
      </w:rPr>
    </w:lvl>
    <w:lvl w:ilvl="2" w:tplc="DF7AEB3E">
      <w:start w:val="1"/>
      <w:numFmt w:val="bullet"/>
      <w:lvlText w:val=""/>
      <w:lvlJc w:val="left"/>
      <w:pPr>
        <w:ind w:left="2160" w:hanging="360"/>
      </w:pPr>
      <w:rPr>
        <w:rFonts w:ascii="Wingdings" w:hAnsi="Wingdings" w:hint="default"/>
      </w:rPr>
    </w:lvl>
    <w:lvl w:ilvl="3" w:tplc="594AE6A2">
      <w:start w:val="1"/>
      <w:numFmt w:val="bullet"/>
      <w:lvlText w:val=""/>
      <w:lvlJc w:val="left"/>
      <w:pPr>
        <w:ind w:left="2880" w:hanging="360"/>
      </w:pPr>
      <w:rPr>
        <w:rFonts w:ascii="Symbol" w:hAnsi="Symbol" w:hint="default"/>
      </w:rPr>
    </w:lvl>
    <w:lvl w:ilvl="4" w:tplc="890C371C">
      <w:start w:val="1"/>
      <w:numFmt w:val="bullet"/>
      <w:lvlText w:val="o"/>
      <w:lvlJc w:val="left"/>
      <w:pPr>
        <w:ind w:left="3600" w:hanging="360"/>
      </w:pPr>
      <w:rPr>
        <w:rFonts w:ascii="Courier New" w:hAnsi="Courier New" w:hint="default"/>
      </w:rPr>
    </w:lvl>
    <w:lvl w:ilvl="5" w:tplc="BC72DD26">
      <w:start w:val="1"/>
      <w:numFmt w:val="bullet"/>
      <w:lvlText w:val=""/>
      <w:lvlJc w:val="left"/>
      <w:pPr>
        <w:ind w:left="4320" w:hanging="360"/>
      </w:pPr>
      <w:rPr>
        <w:rFonts w:ascii="Wingdings" w:hAnsi="Wingdings" w:hint="default"/>
      </w:rPr>
    </w:lvl>
    <w:lvl w:ilvl="6" w:tplc="B0507F42">
      <w:start w:val="1"/>
      <w:numFmt w:val="bullet"/>
      <w:lvlText w:val=""/>
      <w:lvlJc w:val="left"/>
      <w:pPr>
        <w:ind w:left="5040" w:hanging="360"/>
      </w:pPr>
      <w:rPr>
        <w:rFonts w:ascii="Symbol" w:hAnsi="Symbol" w:hint="default"/>
      </w:rPr>
    </w:lvl>
    <w:lvl w:ilvl="7" w:tplc="80EEB164">
      <w:start w:val="1"/>
      <w:numFmt w:val="bullet"/>
      <w:lvlText w:val="o"/>
      <w:lvlJc w:val="left"/>
      <w:pPr>
        <w:ind w:left="5760" w:hanging="360"/>
      </w:pPr>
      <w:rPr>
        <w:rFonts w:ascii="Courier New" w:hAnsi="Courier New" w:hint="default"/>
      </w:rPr>
    </w:lvl>
    <w:lvl w:ilvl="8" w:tplc="D7AA2940">
      <w:start w:val="1"/>
      <w:numFmt w:val="bullet"/>
      <w:lvlText w:val=""/>
      <w:lvlJc w:val="left"/>
      <w:pPr>
        <w:ind w:left="6480" w:hanging="360"/>
      </w:pPr>
      <w:rPr>
        <w:rFonts w:ascii="Wingdings" w:hAnsi="Wingdings" w:hint="default"/>
      </w:rPr>
    </w:lvl>
  </w:abstractNum>
  <w:abstractNum w:abstractNumId="2" w15:restartNumberingAfterBreak="0">
    <w:nsid w:val="5C4944ED"/>
    <w:multiLevelType w:val="hybridMultilevel"/>
    <w:tmpl w:val="6442D56E"/>
    <w:lvl w:ilvl="0" w:tplc="727EB3AA">
      <w:start w:val="1"/>
      <w:numFmt w:val="bullet"/>
      <w:lvlText w:val=""/>
      <w:lvlJc w:val="left"/>
      <w:pPr>
        <w:ind w:left="720" w:hanging="360"/>
      </w:pPr>
      <w:rPr>
        <w:rFonts w:ascii="Symbol" w:hAnsi="Symbol" w:hint="default"/>
      </w:rPr>
    </w:lvl>
    <w:lvl w:ilvl="1" w:tplc="0082C954">
      <w:start w:val="1"/>
      <w:numFmt w:val="bullet"/>
      <w:lvlText w:val="o"/>
      <w:lvlJc w:val="left"/>
      <w:pPr>
        <w:ind w:left="1440" w:hanging="360"/>
      </w:pPr>
      <w:rPr>
        <w:rFonts w:ascii="Courier New" w:hAnsi="Courier New" w:hint="default"/>
      </w:rPr>
    </w:lvl>
    <w:lvl w:ilvl="2" w:tplc="3A566E6E">
      <w:start w:val="1"/>
      <w:numFmt w:val="bullet"/>
      <w:lvlText w:val=""/>
      <w:lvlJc w:val="left"/>
      <w:pPr>
        <w:ind w:left="2160" w:hanging="360"/>
      </w:pPr>
      <w:rPr>
        <w:rFonts w:ascii="Wingdings" w:hAnsi="Wingdings" w:hint="default"/>
      </w:rPr>
    </w:lvl>
    <w:lvl w:ilvl="3" w:tplc="EE8882F0">
      <w:start w:val="1"/>
      <w:numFmt w:val="bullet"/>
      <w:lvlText w:val=""/>
      <w:lvlJc w:val="left"/>
      <w:pPr>
        <w:ind w:left="2880" w:hanging="360"/>
      </w:pPr>
      <w:rPr>
        <w:rFonts w:ascii="Symbol" w:hAnsi="Symbol" w:hint="default"/>
      </w:rPr>
    </w:lvl>
    <w:lvl w:ilvl="4" w:tplc="C6AC567C">
      <w:start w:val="1"/>
      <w:numFmt w:val="bullet"/>
      <w:lvlText w:val="o"/>
      <w:lvlJc w:val="left"/>
      <w:pPr>
        <w:ind w:left="3600" w:hanging="360"/>
      </w:pPr>
      <w:rPr>
        <w:rFonts w:ascii="Courier New" w:hAnsi="Courier New" w:hint="default"/>
      </w:rPr>
    </w:lvl>
    <w:lvl w:ilvl="5" w:tplc="56883760">
      <w:start w:val="1"/>
      <w:numFmt w:val="bullet"/>
      <w:lvlText w:val=""/>
      <w:lvlJc w:val="left"/>
      <w:pPr>
        <w:ind w:left="4320" w:hanging="360"/>
      </w:pPr>
      <w:rPr>
        <w:rFonts w:ascii="Wingdings" w:hAnsi="Wingdings" w:hint="default"/>
      </w:rPr>
    </w:lvl>
    <w:lvl w:ilvl="6" w:tplc="C7F499EC">
      <w:start w:val="1"/>
      <w:numFmt w:val="bullet"/>
      <w:lvlText w:val=""/>
      <w:lvlJc w:val="left"/>
      <w:pPr>
        <w:ind w:left="5040" w:hanging="360"/>
      </w:pPr>
      <w:rPr>
        <w:rFonts w:ascii="Symbol" w:hAnsi="Symbol" w:hint="default"/>
      </w:rPr>
    </w:lvl>
    <w:lvl w:ilvl="7" w:tplc="9C1A067E">
      <w:start w:val="1"/>
      <w:numFmt w:val="bullet"/>
      <w:lvlText w:val="o"/>
      <w:lvlJc w:val="left"/>
      <w:pPr>
        <w:ind w:left="5760" w:hanging="360"/>
      </w:pPr>
      <w:rPr>
        <w:rFonts w:ascii="Courier New" w:hAnsi="Courier New" w:hint="default"/>
      </w:rPr>
    </w:lvl>
    <w:lvl w:ilvl="8" w:tplc="74D2FF74">
      <w:start w:val="1"/>
      <w:numFmt w:val="bullet"/>
      <w:lvlText w:val=""/>
      <w:lvlJc w:val="left"/>
      <w:pPr>
        <w:ind w:left="6480" w:hanging="360"/>
      </w:pPr>
      <w:rPr>
        <w:rFonts w:ascii="Wingdings" w:hAnsi="Wingdings" w:hint="default"/>
      </w:rPr>
    </w:lvl>
  </w:abstractNum>
  <w:abstractNum w:abstractNumId="3" w15:restartNumberingAfterBreak="0">
    <w:nsid w:val="63842205"/>
    <w:multiLevelType w:val="hybridMultilevel"/>
    <w:tmpl w:val="D6A8ACD4"/>
    <w:lvl w:ilvl="0" w:tplc="B2307BF6">
      <w:start w:val="1"/>
      <w:numFmt w:val="bullet"/>
      <w:lvlText w:val=""/>
      <w:lvlJc w:val="left"/>
      <w:pPr>
        <w:ind w:left="780" w:hanging="360"/>
      </w:pPr>
      <w:rPr>
        <w:rFonts w:ascii="Symbol" w:hAnsi="Symbol" w:hint="default"/>
      </w:rPr>
    </w:lvl>
    <w:lvl w:ilvl="1" w:tplc="331AD7EE">
      <w:start w:val="1"/>
      <w:numFmt w:val="bullet"/>
      <w:lvlText w:val="o"/>
      <w:lvlJc w:val="left"/>
      <w:pPr>
        <w:ind w:left="1440" w:hanging="360"/>
      </w:pPr>
      <w:rPr>
        <w:rFonts w:ascii="Courier New" w:hAnsi="Courier New" w:hint="default"/>
      </w:rPr>
    </w:lvl>
    <w:lvl w:ilvl="2" w:tplc="47504F50">
      <w:start w:val="1"/>
      <w:numFmt w:val="bullet"/>
      <w:lvlText w:val=""/>
      <w:lvlJc w:val="left"/>
      <w:pPr>
        <w:ind w:left="2160" w:hanging="360"/>
      </w:pPr>
      <w:rPr>
        <w:rFonts w:ascii="Wingdings" w:hAnsi="Wingdings" w:hint="default"/>
      </w:rPr>
    </w:lvl>
    <w:lvl w:ilvl="3" w:tplc="0F5ED428">
      <w:start w:val="1"/>
      <w:numFmt w:val="bullet"/>
      <w:lvlText w:val=""/>
      <w:lvlJc w:val="left"/>
      <w:pPr>
        <w:ind w:left="2880" w:hanging="360"/>
      </w:pPr>
      <w:rPr>
        <w:rFonts w:ascii="Symbol" w:hAnsi="Symbol" w:hint="default"/>
      </w:rPr>
    </w:lvl>
    <w:lvl w:ilvl="4" w:tplc="A198B2F2">
      <w:start w:val="1"/>
      <w:numFmt w:val="bullet"/>
      <w:lvlText w:val="o"/>
      <w:lvlJc w:val="left"/>
      <w:pPr>
        <w:ind w:left="3600" w:hanging="360"/>
      </w:pPr>
      <w:rPr>
        <w:rFonts w:ascii="Courier New" w:hAnsi="Courier New" w:hint="default"/>
      </w:rPr>
    </w:lvl>
    <w:lvl w:ilvl="5" w:tplc="948C46D6">
      <w:start w:val="1"/>
      <w:numFmt w:val="bullet"/>
      <w:lvlText w:val=""/>
      <w:lvlJc w:val="left"/>
      <w:pPr>
        <w:ind w:left="4320" w:hanging="360"/>
      </w:pPr>
      <w:rPr>
        <w:rFonts w:ascii="Wingdings" w:hAnsi="Wingdings" w:hint="default"/>
      </w:rPr>
    </w:lvl>
    <w:lvl w:ilvl="6" w:tplc="0ECAD8E8">
      <w:start w:val="1"/>
      <w:numFmt w:val="bullet"/>
      <w:lvlText w:val=""/>
      <w:lvlJc w:val="left"/>
      <w:pPr>
        <w:ind w:left="5040" w:hanging="360"/>
      </w:pPr>
      <w:rPr>
        <w:rFonts w:ascii="Symbol" w:hAnsi="Symbol" w:hint="default"/>
      </w:rPr>
    </w:lvl>
    <w:lvl w:ilvl="7" w:tplc="B94C3F5C">
      <w:start w:val="1"/>
      <w:numFmt w:val="bullet"/>
      <w:lvlText w:val="o"/>
      <w:lvlJc w:val="left"/>
      <w:pPr>
        <w:ind w:left="5760" w:hanging="360"/>
      </w:pPr>
      <w:rPr>
        <w:rFonts w:ascii="Courier New" w:hAnsi="Courier New" w:hint="default"/>
      </w:rPr>
    </w:lvl>
    <w:lvl w:ilvl="8" w:tplc="FCF87D4A">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0B536"/>
    <w:rsid w:val="003E33D8"/>
    <w:rsid w:val="00708B19"/>
    <w:rsid w:val="007F5A00"/>
    <w:rsid w:val="00B4A6A1"/>
    <w:rsid w:val="00C3C72A"/>
    <w:rsid w:val="00CAC7DE"/>
    <w:rsid w:val="00E76968"/>
    <w:rsid w:val="020FF59B"/>
    <w:rsid w:val="02526122"/>
    <w:rsid w:val="02D382CB"/>
    <w:rsid w:val="03713C45"/>
    <w:rsid w:val="0384FE7A"/>
    <w:rsid w:val="03DA20D8"/>
    <w:rsid w:val="06EAC9E1"/>
    <w:rsid w:val="084762E9"/>
    <w:rsid w:val="0852B483"/>
    <w:rsid w:val="08CFAD2D"/>
    <w:rsid w:val="09A086BE"/>
    <w:rsid w:val="0A7597D8"/>
    <w:rsid w:val="0AAAFDF5"/>
    <w:rsid w:val="0B4347B8"/>
    <w:rsid w:val="0B5C49A4"/>
    <w:rsid w:val="0B82DE76"/>
    <w:rsid w:val="0BDC3E68"/>
    <w:rsid w:val="0BE4D8AB"/>
    <w:rsid w:val="0C3F2B9C"/>
    <w:rsid w:val="0C429C16"/>
    <w:rsid w:val="0C5CBA75"/>
    <w:rsid w:val="0CA74CB3"/>
    <w:rsid w:val="0CDBC242"/>
    <w:rsid w:val="0CE001DE"/>
    <w:rsid w:val="0CE05852"/>
    <w:rsid w:val="0CFE400D"/>
    <w:rsid w:val="0D05D7C1"/>
    <w:rsid w:val="0D1E6895"/>
    <w:rsid w:val="0D9F1988"/>
    <w:rsid w:val="0E47E143"/>
    <w:rsid w:val="0E4A304F"/>
    <w:rsid w:val="0E9E0016"/>
    <w:rsid w:val="0EBA92D1"/>
    <w:rsid w:val="0ECB1D8F"/>
    <w:rsid w:val="0EFE74B3"/>
    <w:rsid w:val="0F7F8B0C"/>
    <w:rsid w:val="10272048"/>
    <w:rsid w:val="102A6192"/>
    <w:rsid w:val="112B458C"/>
    <w:rsid w:val="1130FD2E"/>
    <w:rsid w:val="1161DB33"/>
    <w:rsid w:val="129510DF"/>
    <w:rsid w:val="12E29E69"/>
    <w:rsid w:val="12F13281"/>
    <w:rsid w:val="1331100F"/>
    <w:rsid w:val="1367762A"/>
    <w:rsid w:val="14667B26"/>
    <w:rsid w:val="15B402DD"/>
    <w:rsid w:val="16293C21"/>
    <w:rsid w:val="16EC1F38"/>
    <w:rsid w:val="17887B3D"/>
    <w:rsid w:val="17B26BEA"/>
    <w:rsid w:val="17CECBE6"/>
    <w:rsid w:val="17E197E3"/>
    <w:rsid w:val="18B6393B"/>
    <w:rsid w:val="1A0EFE8A"/>
    <w:rsid w:val="1AE9F7C1"/>
    <w:rsid w:val="1B435A48"/>
    <w:rsid w:val="1C260CDD"/>
    <w:rsid w:val="1C491BC8"/>
    <w:rsid w:val="1C543A67"/>
    <w:rsid w:val="1C6B87AD"/>
    <w:rsid w:val="1CFE3D10"/>
    <w:rsid w:val="1D70B2C3"/>
    <w:rsid w:val="1D744E3F"/>
    <w:rsid w:val="1DDC210E"/>
    <w:rsid w:val="1E7B2169"/>
    <w:rsid w:val="1E9BED8C"/>
    <w:rsid w:val="200B3860"/>
    <w:rsid w:val="20C42AB7"/>
    <w:rsid w:val="2106CF61"/>
    <w:rsid w:val="21A43A90"/>
    <w:rsid w:val="224C6CF8"/>
    <w:rsid w:val="23530EDE"/>
    <w:rsid w:val="236B0DCD"/>
    <w:rsid w:val="254D7587"/>
    <w:rsid w:val="26D65C90"/>
    <w:rsid w:val="27BEE187"/>
    <w:rsid w:val="2880E040"/>
    <w:rsid w:val="289A9383"/>
    <w:rsid w:val="2AE1BB63"/>
    <w:rsid w:val="2AFEEACF"/>
    <w:rsid w:val="2B9BFCE0"/>
    <w:rsid w:val="2D7A9B93"/>
    <w:rsid w:val="2EA11DF5"/>
    <w:rsid w:val="2EDF3010"/>
    <w:rsid w:val="3122C62A"/>
    <w:rsid w:val="31A93FF1"/>
    <w:rsid w:val="3205C7DC"/>
    <w:rsid w:val="32199E48"/>
    <w:rsid w:val="3247E06E"/>
    <w:rsid w:val="3390B536"/>
    <w:rsid w:val="34C3EE18"/>
    <w:rsid w:val="357435FC"/>
    <w:rsid w:val="35AC6115"/>
    <w:rsid w:val="35DBF127"/>
    <w:rsid w:val="36961623"/>
    <w:rsid w:val="36A9E734"/>
    <w:rsid w:val="370BC8F8"/>
    <w:rsid w:val="372B10C9"/>
    <w:rsid w:val="39A12A39"/>
    <w:rsid w:val="39CA02FD"/>
    <w:rsid w:val="3A01BCC2"/>
    <w:rsid w:val="3A3F3245"/>
    <w:rsid w:val="3A9B1EE6"/>
    <w:rsid w:val="3A9F139B"/>
    <w:rsid w:val="3AFD309D"/>
    <w:rsid w:val="3B4D8D85"/>
    <w:rsid w:val="3C0A9B55"/>
    <w:rsid w:val="3D28CC41"/>
    <w:rsid w:val="3D7282CA"/>
    <w:rsid w:val="3DCCB36E"/>
    <w:rsid w:val="3DF3485E"/>
    <w:rsid w:val="3E5A5F3A"/>
    <w:rsid w:val="3ED03F02"/>
    <w:rsid w:val="3F1430E7"/>
    <w:rsid w:val="3FC17D84"/>
    <w:rsid w:val="415452A7"/>
    <w:rsid w:val="41BC8DD3"/>
    <w:rsid w:val="456E2969"/>
    <w:rsid w:val="469B3001"/>
    <w:rsid w:val="47BC451C"/>
    <w:rsid w:val="47F45EEC"/>
    <w:rsid w:val="47F8FD53"/>
    <w:rsid w:val="4841B415"/>
    <w:rsid w:val="4956CFCD"/>
    <w:rsid w:val="4A4E948A"/>
    <w:rsid w:val="4CB76C7B"/>
    <w:rsid w:val="4D2F59FD"/>
    <w:rsid w:val="4D67C9E9"/>
    <w:rsid w:val="4D718006"/>
    <w:rsid w:val="4D8354E4"/>
    <w:rsid w:val="4DAD96E3"/>
    <w:rsid w:val="4EB17F3C"/>
    <w:rsid w:val="4EB46640"/>
    <w:rsid w:val="4F5F0F2E"/>
    <w:rsid w:val="4FFA02F3"/>
    <w:rsid w:val="50F62B51"/>
    <w:rsid w:val="52717E93"/>
    <w:rsid w:val="5339C67F"/>
    <w:rsid w:val="53EC3EFC"/>
    <w:rsid w:val="543BC469"/>
    <w:rsid w:val="546928B1"/>
    <w:rsid w:val="551877F1"/>
    <w:rsid w:val="55749E2A"/>
    <w:rsid w:val="55D7472B"/>
    <w:rsid w:val="5724F2C1"/>
    <w:rsid w:val="578AF819"/>
    <w:rsid w:val="5866C2B2"/>
    <w:rsid w:val="59E81A89"/>
    <w:rsid w:val="5A1E8394"/>
    <w:rsid w:val="5A903EA5"/>
    <w:rsid w:val="5B65B8BF"/>
    <w:rsid w:val="5C1BE198"/>
    <w:rsid w:val="5C95425B"/>
    <w:rsid w:val="5D48E7C2"/>
    <w:rsid w:val="5DEB87FE"/>
    <w:rsid w:val="5DF1C37F"/>
    <w:rsid w:val="5EDBC0FE"/>
    <w:rsid w:val="5EDE2D74"/>
    <w:rsid w:val="5F63A573"/>
    <w:rsid w:val="5F72A07E"/>
    <w:rsid w:val="5FFB88A0"/>
    <w:rsid w:val="607D2D68"/>
    <w:rsid w:val="61444237"/>
    <w:rsid w:val="616D5A18"/>
    <w:rsid w:val="627DFD76"/>
    <w:rsid w:val="62B531BF"/>
    <w:rsid w:val="62E9DAEC"/>
    <w:rsid w:val="62EDFA5F"/>
    <w:rsid w:val="63774C86"/>
    <w:rsid w:val="63940F88"/>
    <w:rsid w:val="644AEF23"/>
    <w:rsid w:val="64707918"/>
    <w:rsid w:val="647EFCB3"/>
    <w:rsid w:val="65CBDE4E"/>
    <w:rsid w:val="671BBA62"/>
    <w:rsid w:val="67F2CCFB"/>
    <w:rsid w:val="6859C7CD"/>
    <w:rsid w:val="687D3956"/>
    <w:rsid w:val="69C6BE30"/>
    <w:rsid w:val="6A0F1E74"/>
    <w:rsid w:val="6A493A06"/>
    <w:rsid w:val="6AB94E7B"/>
    <w:rsid w:val="6B340D92"/>
    <w:rsid w:val="6B350BAB"/>
    <w:rsid w:val="6C056CE6"/>
    <w:rsid w:val="6C4AFAF9"/>
    <w:rsid w:val="6D6CCB1B"/>
    <w:rsid w:val="6D70355E"/>
    <w:rsid w:val="6DEA89E7"/>
    <w:rsid w:val="6F42585E"/>
    <w:rsid w:val="705C896A"/>
    <w:rsid w:val="70AC9527"/>
    <w:rsid w:val="7129EF52"/>
    <w:rsid w:val="7192C708"/>
    <w:rsid w:val="72CB1DFC"/>
    <w:rsid w:val="72F5E8BC"/>
    <w:rsid w:val="730DF044"/>
    <w:rsid w:val="74A95F63"/>
    <w:rsid w:val="75954AD6"/>
    <w:rsid w:val="76397FC1"/>
    <w:rsid w:val="76A1564B"/>
    <w:rsid w:val="76B82ADC"/>
    <w:rsid w:val="7747FF5E"/>
    <w:rsid w:val="7790DB4D"/>
    <w:rsid w:val="77F10431"/>
    <w:rsid w:val="7842841E"/>
    <w:rsid w:val="7885E7E0"/>
    <w:rsid w:val="794BC4EE"/>
    <w:rsid w:val="79615756"/>
    <w:rsid w:val="7AA67EEA"/>
    <w:rsid w:val="7BE63ED6"/>
    <w:rsid w:val="7CE130E4"/>
    <w:rsid w:val="7CF92BB8"/>
    <w:rsid w:val="7D543BC5"/>
    <w:rsid w:val="7D79FF73"/>
    <w:rsid w:val="7E5C829D"/>
    <w:rsid w:val="7EA49566"/>
    <w:rsid w:val="7EE1ED38"/>
    <w:rsid w:val="7F3BC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C302"/>
  <w15:chartTrackingRefBased/>
  <w15:docId w15:val="{A06D1349-6237-4A0C-AEE1-67769821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Arial12">
    <w:name w:val="Arial 12"/>
    <w:basedOn w:val="Normal"/>
    <w:link w:val="Arial12Char"/>
    <w:uiPriority w:val="1"/>
    <w:qFormat/>
    <w:rsid w:val="0D9F1988"/>
    <w:rPr>
      <w:rFonts w:ascii="Arial" w:eastAsia="Calibri" w:hAnsi="Arial" w:cs="Arial"/>
      <w:lang w:eastAsia="en-US"/>
    </w:rPr>
  </w:style>
  <w:style w:type="character" w:customStyle="1" w:styleId="Arial12Char">
    <w:name w:val="Arial 12 Char"/>
    <w:basedOn w:val="DefaultParagraphFont"/>
    <w:link w:val="Arial12"/>
    <w:uiPriority w:val="1"/>
    <w:rsid w:val="0D9F1988"/>
    <w:rPr>
      <w:rFonts w:ascii="Arial" w:eastAsia="Calibri" w:hAnsi="Arial" w:cs="Arial"/>
      <w:sz w:val="24"/>
      <w:szCs w:val="24"/>
      <w:lang w:eastAsia="en-US"/>
    </w:rPr>
  </w:style>
  <w:style w:type="paragraph" w:styleId="ListParagraph">
    <w:name w:val="List Paragraph"/>
    <w:basedOn w:val="Normal"/>
    <w:uiPriority w:val="34"/>
    <w:qFormat/>
    <w:rsid w:val="0D9F1988"/>
    <w:pPr>
      <w:ind w:left="720"/>
      <w:contextualSpacing/>
    </w:pPr>
  </w:style>
  <w:style w:type="character" w:styleId="Hyperlink">
    <w:name w:val="Hyperlink"/>
    <w:basedOn w:val="DefaultParagraphFont"/>
    <w:uiPriority w:val="99"/>
    <w:unhideWhenUsed/>
    <w:rsid w:val="671BBA6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setsendiass.co.uk/contact/" TargetMode="External"/><Relationship Id="rId5" Type="http://schemas.openxmlformats.org/officeDocument/2006/relationships/hyperlink" Target="https://www.dorsetcouncil.gov.uk/children-families/sen-and-disability-local-offer/dorsets-local-offe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Hubbard</dc:creator>
  <cp:keywords/>
  <dc:description/>
  <cp:lastModifiedBy>Mark Fisher</cp:lastModifiedBy>
  <cp:revision>2</cp:revision>
  <dcterms:created xsi:type="dcterms:W3CDTF">2025-09-09T07:25:00Z</dcterms:created>
  <dcterms:modified xsi:type="dcterms:W3CDTF">2025-09-09T07:25:00Z</dcterms:modified>
</cp:coreProperties>
</file>